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06.03.2023 N 126-пп</w:t>
              <w:br/>
              <w:t xml:space="preserve">"Об утверждении порядка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марта 2023 г. N 126-пп</w:t>
      </w:r>
    </w:p>
    <w:p>
      <w:pPr>
        <w:pStyle w:val="2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ДОСТУПА К ЗАЩИЩЕННОЙ</w:t>
      </w:r>
    </w:p>
    <w:p>
      <w:pPr>
        <w:pStyle w:val="2"/>
        <w:jc w:val="center"/>
      </w:pPr>
      <w:r>
        <w:rPr>
          <w:sz w:val="20"/>
        </w:rPr>
        <w:t xml:space="preserve">СЕТИ ПЕРЕДАЧИ ДАННЫХ РЕГИОНАЛЬНОГО СЕГМЕНТА ЕДИНОЙ</w:t>
      </w:r>
    </w:p>
    <w:p>
      <w:pPr>
        <w:pStyle w:val="2"/>
        <w:jc w:val="center"/>
      </w:pPr>
      <w:r>
        <w:rPr>
          <w:sz w:val="20"/>
        </w:rPr>
        <w:t xml:space="preserve">ГОСУДАРСТВЕННОЙ ИНФОРМАЦИОННОЙ СИСТЕМЫ В СФЕРЕ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 ДЛЯ АПТЕЧНЫХ</w:t>
      </w:r>
    </w:p>
    <w:p>
      <w:pPr>
        <w:pStyle w:val="2"/>
        <w:jc w:val="center"/>
      </w:pPr>
      <w:r>
        <w:rPr>
          <w:sz w:val="20"/>
        </w:rPr>
        <w:t xml:space="preserve">ОРГАНИЗАЦИЙ И ВЛАДЕЛЬЦЕВ АГРЕГАТОРОВ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Федерального </w:t>
      </w:r>
      <w:hyperlink w:history="0" r:id="rId7" w:tooltip="Федеральный закон от 20.10.2022 N 405-ФЗ &quot;О внесении изменений в Федеральный закон &quot;Об обращении лекарственных средств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20 октября 2022 года N 405-ФЗ "О внесении изменений в Федеральный закон "Об обращении лекарственных средств", Федерального </w:t>
      </w:r>
      <w:hyperlink w:history="0" r:id="rId8" w:tooltip="Федеральный закон от 12.04.2010 N 61-ФЗ (ред. от 30.01.2024) &quot;Об обращении лекарственных средств&quot; (с изм. и доп., вступ. в силу с 01.04.2024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12 апреля 2010 года N 61-ФЗ "Об обращении лекарственных средств", </w:t>
      </w:r>
      <w:hyperlink w:history="0" r:id="rId9" w:tooltip="Постановление Правительства РФ от 09.02.2022 N 140 (ред. от 30.11.2022) &quot;О единой государственной информационной системе в сфере здравоохранения&quot; (вместе с &quot;Положением о единой государственной информационной системе в сфере здравоохранения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9 февраля 2022 года N 140 "О единой государственной информационной системе в сфере здравоохранения", в соответствии с </w:t>
      </w:r>
      <w:hyperlink w:history="0" r:id="rId10" w:tooltip="Постановление Правительства РФ от 22.02.2023 N 292 &quot;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22 февраля 2023 года N 292 "Об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способом", а также в соответствии с </w:t>
      </w:r>
      <w:hyperlink w:history="0" r:id="rId11" w:tooltip="Распоряжение Правительства Белгородской обл. от 10.05.2016 N 208-рп &quot;О региональном сегменте единой государственной информационной системы в сфере здравоохранения Белгородской области&quot; (вместе с &quot;Положением о региональном сегменте единой государственной информационной системы в сфере здравоохранения Белгородской области&quot;)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Белгородской области от 10 мая 2016 года N 208-рп "О Региональном сегменте Единой государственной информационной системы в сфере здравоохранения Белгородской области", в рамках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 (приложение N 1).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форму </w:t>
      </w:r>
      <w:hyperlink w:history="0" w:anchor="P355" w:tooltip="Соглашение">
        <w:r>
          <w:rPr>
            <w:sz w:val="20"/>
            <w:color w:val="0000ff"/>
          </w:rPr>
          <w:t xml:space="preserve">соглашения</w:t>
        </w:r>
      </w:hyperlink>
      <w:r>
        <w:rPr>
          <w:sz w:val="20"/>
        </w:rPr>
        <w:t xml:space="preserve"> о предоставлении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 (приложение N 2).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Утвердить форму </w:t>
      </w:r>
      <w:hyperlink w:history="0" w:anchor="P539" w:tooltip="                                    Акт">
        <w:r>
          <w:rPr>
            <w:sz w:val="20"/>
            <w:color w:val="0000ff"/>
          </w:rPr>
          <w:t xml:space="preserve">акта</w:t>
        </w:r>
      </w:hyperlink>
      <w:r>
        <w:rPr>
          <w:sz w:val="20"/>
        </w:rPr>
        <w:t xml:space="preserve"> подтверждения обеспечения соблюдения требований к инфраструктуре информационной безопасности и организации взаимодействия с региональным сегментом единой государственной информационной системы в сфере здравоохранения Белгородской области для аптечных организаций и владельцев агрегаторов (приложение N 3).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первого заместителя Губернатора Белгородской области - министра цифрового развития Белгородской области Мирошникова Е.В.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со дня его официального опубликования, распространяется на правоотношения, возникшие с 1 марта 2023 года, и действует до 1 марта 2026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марта 2023 г. N 126-пп</w:t>
      </w:r>
    </w:p>
    <w:p>
      <w:pPr>
        <w:pStyle w:val="0"/>
        <w:jc w:val="center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ДОСТУПА К ЗАЩИЩЕННОЙ СЕТИ ПЕРЕДАЧИ ДАННЫХ</w:t>
      </w:r>
    </w:p>
    <w:p>
      <w:pPr>
        <w:pStyle w:val="2"/>
        <w:jc w:val="center"/>
      </w:pPr>
      <w:r>
        <w:rPr>
          <w:sz w:val="20"/>
        </w:rPr>
        <w:t xml:space="preserve">РЕГИОНАЛЬНОГО СЕГМЕНТА ЕДИНОЙ ГОСУДАРСТВЕННОЙ ИНФОРМАЦИОННОЙ</w:t>
      </w:r>
    </w:p>
    <w:p>
      <w:pPr>
        <w:pStyle w:val="2"/>
        <w:jc w:val="center"/>
      </w:pPr>
      <w:r>
        <w:rPr>
          <w:sz w:val="20"/>
        </w:rPr>
        <w:t xml:space="preserve">СИСТЕМЫ В СФЕРЕ ЗДРАВООХРАНЕНИЯ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ДЛЯ АПТЕЧНЫХ ОРГАНИЗАЦИЙ И ВЛАДЕЛЬЦЕВ АГРЕГАТОРОВ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 (далее - Порядок) разработан в целях организации защищенного документооборота в рамках обмена информацией между пользователями единой защищенной сети передачи данных министерства здравоохранения Белгородской области - участниками защищенного информационного обмена, а именно: юридическими лицами независимо от организационно-правовой формы, осуществляющими в качестве основного (уставного) вида деятельности фармацевтическую деятельность на основании лицензии, предоставленной в порядке, установленном законодательством Российской Федерации о лицензировании отдельных видов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Порядок определяет: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взаимодействие фармацевтических организаций всех форм собственности с платформой электронного рецепта или иными информационными системами в рамках регионального сегмента государственной системы в сфере здравоохранения Белгородской области (далее - РС ЕГИСЗ Белгородской области);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порядок и сроки предоставления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участников информационного взаимодействия;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порядок доступа к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требования к программно-техническим средствам;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порядок обмена информацией;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вопросы защиты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порядок информационного взаимодействия подсистем.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Порядок разработан в соответствии: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 Федеральным </w:t>
      </w:r>
      <w:hyperlink w:history="0" r:id="rId12" w:tooltip="Федеральный закон от 27.07.2006 N 149-ФЗ (ред. от 12.12.2023) &quot;Об информации, информационных технологиях и о защите информ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2006 года N 149-ФЗ "Об информации, информационных технологиях и о защите информации";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Федеральным </w:t>
      </w:r>
      <w:hyperlink w:history="0" r:id="rId13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2006 года N 152-ФЗ "О персональных данных";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4" w:tooltip="Постановление Правительства РФ от 22.02.2023 N 292 &quot;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22 февраля 2023 года N 292 "Об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Распоряжение Правительства Белгородской обл. от 10.05.2016 N 208-рп &quot;О региональном сегменте единой государственной информационной системы в сфере здравоохранения Белгородской области&quot; (вместе с &quot;Положением о региональном сегменте единой государственной информационной системы в сфере здравоохранения Белгородской области&quot;)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Белгородской области от 10 мая 2016 года N 208-рп "О Региональном сегменте Единой государственной информационной системы в сфере здравоохранения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распоряжением Правительства Белгородской области от 8 апреля 2013 года N 174-рп "Об операторе информационных систем в сфере здравоохранения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6" w:tooltip="Приказ ФСТЭК России от 18.02.2013 N 21 (ред. от 14.05.2020) &quot;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&quot; (Зарегистрировано в Минюсте России 14.05.2013 N 28375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Федеральной службы по техническому и экспортному контролю от 18 февраля 2013 года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7" w:tooltip="Приказ ФСТЭК России от 11.02.2013 N 17 (ред. от 28.05.2019) &quot;Об утверждении Требований о защите информации, не составляющей государственную тайну, содержащейся в государственных информационных системах&quot; (Зарегистрировано в Минюсте России 31.05.2013 N 28608) (с изм. и доп., вступ. в силу с 01.01.2021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Федеральной службы по техническому и экспортному контролю от 11 февраля 2013 года N 17 "Об утверждении Требований о защите информации, не составляющей государственную тайну, содержащейся в государственных информационных системах".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Порядок распространяется на фармацевтические организации всех видов собственности и владельцев информации о товарах (услугах) (далее - агрегатор) в соответствии с </w:t>
      </w:r>
      <w:hyperlink w:history="0" r:id="rId18" w:tooltip="Закон РФ от 07.02.1992 N 2300-1 (ред. от 04.08.2023) &quot;О защите прав потребителей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Российской Федерации от 7 февраля 1992 года N 2300-1 "О защите прав потребителей", подключаемых к РС ЕГИСЗ Белгородской области, и определяет процедуры предоставления доступа к РС ЕГИСЗ Белгородской области, а также регулирует возникающие при этом отношения.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Участники процесса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Оператор РС ЕГИСЗ Белгородской области - министерство здравоохранения Белгородской области либо юридическое лицо, определяемое министерством здравоохранения Белгородской области, осуществляющее деятельность по эксплуатации РС ЕГИСЗ Белгородской области, в том числе по защите, хранению и администрированию доступа к информации, обеспечивающее функционирование РС ЕГИСЗ Белгородской области, определяющее стратегию и планы развития РС ЕГИСЗ Белгородской области, а также организующее взаимодействие РС ЕГИСЗ Белгородской области с другими информационными системами.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Заявитель - юридическое лицо, направившее заявку на подключение объекта информатизации защищенной сети передачи данных министерства здравоохранения Белгородской области (далее - ЗСПД) РС ЕГИСЗ Белгородской области, или заявку на внесение изменений в представленные ранее сведения (частная аптека, агрегатор с любым видом собственности).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Администратор РС ЕГИСЗ Белгородской области - сотрудник(-и) оператора РС ЕГИСЗ Белгородской области, обеспечивающий(-е) функционирование РС ЕГИСЗ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Термины, определения и сокращения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В Порядке используются следующие термины, определения и сокращения: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СКЗИ - средства криптографической защиты информации (программные и программно-аппаратные);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ФСБ - Федеральная служба безопасности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ФСТЭК - Федеральная служба по техническому и экспортному контролю;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ЦОД - центр обработки данных;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объект информатизации - совокупность информационных ресурсов, средств и систем обработки информации, используемых в соответствии с заданной информационной технологией (автономное автоматизированное рабочее место, локальная вычислительная сеть, серверы, сетевое и телекоммуникационное оборудование, средства межсетевого экранирования), на которых организована информационная система, местонахождение, состав и основные характеристики которой зафиксированы в представленной Заявителем технической документации;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инфраструктура доступа к информационным ресурсам РС ЕГИСЗ Белгородской области - комплекс технических средств и организационных мероприятий для обеспечения доступа пользователей РС ЕГИСЗ Белгородской области к информационным ресурсам РС ЕГИСЗ Белгородской области в соответствии с требованиями законодательства по защите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система обработки информации - совокупность технических средств и программного обеспечения, а также методов обработки информации и действий персонала, необходимых для выполнения автоматизированной обработки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API - программный интерфейс приложения (application programming interface);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TLS - криптографический протокол, обеспечивающий защищенную передачу данных между приложением пользователя и серверами инфраструктуры доступа к информационным ресурсам РС ЕГИСЗ Белгородской области (transport layer security);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VPN - виртуальная частная сеть (Virtual Private Network);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VipNet Network Security - линейка продуктов VipNet, обеспечивающая криптографическое преобразование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VipNet Client - программное обеспечение, обеспечивающее криптографическое преобразование информации при взаимодействии с одним VipNet Coordinator. VipNet Client устанавливается на автоматизированные рабочие места юридических лиц, подключаемых к локальной вычислительной сети;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VipNet Coordinator - программное обеспечение или программно-аппаратный комплекс, обеспечивающий криптографическое преобразование информации при взаимодействии с другими узлами VipNet;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ViPNet PKI Client - программное обеспечение, предназначенное для реализации защищенного доступа удаленных пользователей к веб-ресурсам корпоративной сети по каналам связи общих сетей передачи данных;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ViPNet TLS Gateway - программно-аппаратный комплекс, предназначенный для обеспечения доступа удаленных пользователей к защищаемым ресурсам в локальной сети с шифрованием трафика между рабочими местами пользователей и TLS-сервером;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Континент VPN шлюз - программное обеспечение или программно-аппаратный комплекс, обеспечивающий защищенную передачу IP-пакетов между сегментами сетей посредством VPN-туннелей через сети общего пользования;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Континент TLS сервер - программное обеспечение или программно-аппаратный комплекс, предназначенный для обеспечения доступа удаленных пользователей к защищаемым ресурсам в локальной сети с шифрованием трафика между рабочими местами пользователей и TLS-сервером;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Континент TLS Клиент - программное обеспечение, предназначенное для реализации защищенного доступа удаленных пользователей к веб-ресурсам корпоративной сети по каналам связи общих сетей передачи данных.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Порядок осуществления информационного взаимодействия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Информационное взаимодействие осуществляется путем обмена обезличенными сведениями, не содержащими сведения, в отношении которых действует режим конфиденциальности, и сведениями, не отнесенными к врачебной тайне, при помощи платформы электронного рецепта, являющейся частью РС ЕГИСЗ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Аптечная организация осуществляет запрос с платформы электронного рецепта по серии и номеру рецепта, СНИЛС пациента. Если рецепт валиден (допускает отпуск препарата по нему данной аптечной организацией), платформа электронного рецепта передает информацию в следующем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серия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дата выписки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дата окончания действия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признак, что рецепт выписан по хроническому заболеванию;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форма рецептурного бланка;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признак того, что рецепт бумажный;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пациенте (СНИЛС, номер мобильного телефона);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об организации, выписавшей рецепт (наименование организации, ОГРН/ОГРНИП, ИНН, фамилия, имя, отчество руководителя, телефон руководителя, регистрационный номер (далее - OID) медицинской организации в Федеральном регистре медицинских организаций (далее - ФРМО), адрес организации, номер лицензии);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подразделении организации (наименование, уникальный код подразделения, OID подразделения по ФРМО, телефон руководителя, адрес, код вида подразделения);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выписанном лекарственном препарате (наименование, схема приема, особые указания, количество назначенных единиц, тип назначения рецепта, код лекарственного препарата, латинское наименование лекарственного препарата, латинское наименование лекарственной формы);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код субъекта РФ;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периодичность отпуска;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СНИЛС представителя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мобильного телефона представителя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СЭМД "Рецепт на лекарственный препарат" или СЭМД "Льготный рецепт на лекарственный препарат, изделие медицинского назначения и специализированный продукт лечебного питания";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информация о предыдущих отпусках по данному рецепту в том случае, когда допускается частичный отпуск по рецепту.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рецепт не валиден (недействителен, просрочен, уже обслужен, не может быть обслужен в данной аптечной организации), платформа электронного рецепта передает информацию о причинах невозможности обслуживания рецепта.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невозможности отпуска лекарственного препарата по электронному рецепту работник аптечной организации информирует пациента (представителя пациента) о причинах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При отпуске лекарственного препарата по электронному рецепту аптечная организация передает на платформу электронного рецепта данные об отпущенном лекарственном препарате (наименование и количество упаковок) и фармацевтическом работнике, осуществившем отпуск.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Требования к объектам информатизации, подключаемым</w:t>
      </w:r>
    </w:p>
    <w:p>
      <w:pPr>
        <w:pStyle w:val="2"/>
        <w:jc w:val="center"/>
      </w:pPr>
      <w:r>
        <w:rPr>
          <w:sz w:val="20"/>
        </w:rPr>
        <w:t xml:space="preserve">к РС ЕГИСЗ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Информационные системы участника информационного взаимодействия, подключаемые к ЗСПД, должны обеспечивать защиту информации, обрабатываемой в информационной системе участника информационного взаимодействия, в том числе полученной из РС ЕГИСЗ Белгородской области, в соответствии с требованиями о защите информации, содержащейся в государственных информационных системах, установленными ФСТЭК в соответствии с </w:t>
      </w:r>
      <w:hyperlink w:history="0" r:id="rId19" w:tooltip="Федеральный закон от 27.07.2006 N 149-ФЗ (ред. от 12.12.2023) &quot;Об информации, информационных технологиях и о защите информации&quot; {КонсультантПлюс}">
        <w:r>
          <w:rPr>
            <w:sz w:val="20"/>
            <w:color w:val="0000ff"/>
          </w:rPr>
          <w:t xml:space="preserve">частью 5 статьи 16</w:t>
        </w:r>
      </w:hyperlink>
      <w:r>
        <w:rPr>
          <w:sz w:val="20"/>
        </w:rPr>
        <w:t xml:space="preserve"> Федерального закона от 27 июля 2006 года N 149-ФЗ "Об информации, информационных технологиях и о защите информации", требованиями к защите персональных данных при их обработке в информационных системах персональных данных, установленными Правительством Российской Федерации в соответствии с </w:t>
      </w:r>
      <w:hyperlink w:history="0" r:id="rId20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пунктом 2 части 3 статьи 19</w:t>
        </w:r>
      </w:hyperlink>
      <w:r>
        <w:rPr>
          <w:sz w:val="20"/>
        </w:rPr>
        <w:t xml:space="preserve"> Федерального закона от 27 июля 2006 года N 152-ФЗ "О персональных данных", и требованиями </w:t>
      </w:r>
      <w:hyperlink w:history="0" r:id="rId21" w:tooltip="Приказ Минздрава России от 24.12.2018 N 911н &quot;Об 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цинских организаций и информационным системам фармацевтических организаций&quot; (Зарегистрировано в Минюсте России 19.06.2019 N 54963) {КонсультантПлюс}">
        <w:r>
          <w:rPr>
            <w:sz w:val="20"/>
            <w:color w:val="0000ff"/>
          </w:rPr>
          <w:t xml:space="preserve">раздела II</w:t>
        </w:r>
      </w:hyperlink>
      <w:r>
        <w:rPr>
          <w:sz w:val="20"/>
        </w:rPr>
        <w:t xml:space="preserve"> Приказа Минздрава России от 24 декабря 2018 года N 911н.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Объекты информатизации, подключаемые к РС ЕГИСЗ Белгородской области, должны иметь подтверждение соответствия требованиям безопасности информации, определенным законодательством и нормативными правовыми актами Российской Федерации в области защиты информации при работе с государственными информационными системами с установленным классом защищенности не ниже второго и уровнем защищенности персональных данных не ниже второго.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VI. Осуществление взаимодействия сторон в процессе</w:t>
      </w:r>
    </w:p>
    <w:p>
      <w:pPr>
        <w:pStyle w:val="2"/>
        <w:jc w:val="center"/>
      </w:pPr>
      <w:r>
        <w:rPr>
          <w:sz w:val="20"/>
        </w:rPr>
        <w:t xml:space="preserve">подключения к РС ЕГИСЗ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В процессе взаимодействия Оператор РС ЕГИСЗ Белгородской области обязуется: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6.1.1. Обеспечивать организационное сопровождение и функционирование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6.1.2. Обеспечивать работоспособность и безопасность используемых программно-аппаратных и программных средств, необходимых для функционирования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6.1.3. Обеспечивать предоставление информационной и методической поддержки участникам информационного взаимодействия.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6.1.4. 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передаваемой с использованием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В процессе взаимодействия Заявитель обязуется: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6.2.1. Соблюдать установленные федеральными и региональными правовыми актами требования к инфраструктуре информационной безопасности по обеспечению защиты информации, передаваемой по каналам связи защищенной сети регионального сегмента единой государственной информационной системы в сфере здравоохранения Белгородской области, требования к средствам и системам обеспечения информационного обмена, межсетевого взаимодействия и защите информации (далее - Требования по ИБ).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6.2.2. В полном объеме информировать Оператора РС ЕГИСЗ Белгородской области обо всех планируемых и (или) произведенных изменениях в составе используемых участником средств и систем обеспечения информационного обмена, межсетевого взаимодействия и защиты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6.2.3. Обеспечивать достоверность и актуальность сведений, предоставляемых Оператору РС ЕГИСЗ Белгородской области, необходимых для исполнения Оператором РС ЕГИСЗ Белгородской области обязанностей.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6.2.4. Обеспечивать изменение (актуализацию) переданных сведений в случае установления их недостоверности.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6.2.5. Обеспечивать работоспособность и безопасность используемых программно-аппаратных и программных средств, необходимых для функционирования ЗСПД в соответствии с Требованиями по ИБ.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6.2.6. Обеспечивать установку, настройку и техническое сопровождение используемых программных и программно-аппаратных средств защиты информации участника сертифицированным специалистом или организацией, имеющей соответствующие лицензии на работу с криптографическими средствами.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6.2.7. 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получаемой и передаваемой при помощи ЗСПД, в том числе к персональным данным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6.2.8. Не производить действия, направленные на нарушение информационной безопасности ЗСПД или информационных систем иных участников информационного взаимодействия, подключенных к ЗСПД (деструктивные действия).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VII. Порядок оформления и рассмотрения заявок на подключение</w:t>
      </w:r>
    </w:p>
    <w:p>
      <w:pPr>
        <w:pStyle w:val="2"/>
        <w:jc w:val="center"/>
      </w:pPr>
      <w:r>
        <w:rPr>
          <w:sz w:val="20"/>
        </w:rPr>
        <w:t xml:space="preserve">объектов информатизации к РС ЕГИСЗ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Подключение объектов информатизации к РС ЕГИСЗ Белгородской области осуществляется на основании </w:t>
      </w:r>
      <w:hyperlink w:history="0" w:anchor="P248" w:tooltip="Заявка">
        <w:r>
          <w:rPr>
            <w:sz w:val="20"/>
            <w:color w:val="0000ff"/>
          </w:rPr>
          <w:t xml:space="preserve">заявки</w:t>
        </w:r>
      </w:hyperlink>
      <w:r>
        <w:rPr>
          <w:sz w:val="20"/>
        </w:rPr>
        <w:t xml:space="preserve"> на подключение к ЗСПД РС ЕГИСЗ Белгородской области (далее - Заявка), направляемой Заявителем Администратору РС ЕГИСЗ Белгородской области (приложение N 1 к Порядку).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Заявка может направляться в виде электронного письма Администратору РС ЕГИСЗ Белгородской области, а также на бумажном носителе.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7.3. При необходимости передачи с Заявкой документов, содержащих информацию ограниченного доступа (в том числе с ограничительной пометкой "Для служебного пользования"), они направляются на бумажном носителе Администратору РС ЕГИСЗ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7.4. К Заявке прилагаются следующие документы (далее - Комплект документов):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пояснительная записка, которая должна содержать следующую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наименование, назначение, фактический адрес подключаемого(-ых) объекта(-ов) информатизации;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сведений РС ЕГИСЗ Белгородской области, доступ к которым запрашивается;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сведений, которые предоставляются в состав РС ЕГИСЗ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цели обработки информации в рамках информационного взаимодействия с РС ЕГИСЗ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лицензий на осуществление фармацевтической деятельности, соответствующих содержанию информационного взаимодействия с РС ЕГИСЗ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заверенные копии или электронные образы документов, подтверждающих соответствие подключаемых объектов информатизации требованиям безопасности информации, определенным законодательством и нормативными правовыми актами Российской Федерации в области защиты информации (соответствие средств антивирусной защиты, межсетевого экрана и защиты от несанкционированного доступа требованиям ФСТЭК);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294" w:tooltip="Сведения">
        <w:r>
          <w:rPr>
            <w:sz w:val="20"/>
            <w:color w:val="0000ff"/>
          </w:rPr>
          <w:t xml:space="preserve">сведения</w:t>
        </w:r>
      </w:hyperlink>
      <w:r>
        <w:rPr>
          <w:sz w:val="20"/>
        </w:rPr>
        <w:t xml:space="preserve"> о СКЗИ, планируемых к использованию для подключения к РС ЕГИСЗ Белгородской области посредством инфраструктуры доступа к информационным ресурсам РС ЕГИСЗ Белгородской области в соответствии с приложением N 2 к Порядку, представленные в виде электронного документа в формате ods или xls/xlsx;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заверенные копии или электронные образы документов, подтверждающих законное владение Заявителем каждым СКЗИ, представленные в виде файлов в формате pdf.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7.5. Оператор РС ЕГИСЗ Белгородской области рассматривает вопрос о согласовании подключения объекта информатизации Заявителя к РС ЕГИСЗ Белгородской области и признания Заявителя участником РС ЕГИСЗ Белгородской области. По результатам рассмотрения принимается решение о подключении либо отказе в подключении к РС ЕГИСЗ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7.6. Решение об отказе в подключении к РС ЕГИСЗ Белгородской области принимается в случае: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предоставления неполного комплекта документов;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предоставления недостоверной информации;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несоответствия заявленных целей подключения к РС ЕГИСЗ Белгородской области полномочиям, правам и обязанностям Заявителя;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несоответствия подключаемых объектов информатизации Заявителя требованиям по защите информации в РС ЕГИСЗ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7.7. Решение Оператором РС ЕГИСЗ Белгородской области о согласовании или несогласовании подключения объекта информатизации Заявителя к РС ЕГИСЗ Белгородской области направляется Заявителю преимущественно тем же способом, каким была получена заявка.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7.8. В случае положительного решения о согласовании подключения объекта информатизации в течение 10 (десяти) рабочих дней со дня принятия решения Заявитель предоставляет Оператору в трех экземплярах подписанное со своей стороны соглашение о предоставлении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(далее - Соглашение) на бумажном носителе в соответствии с формой соглашения, утвержденной постановлением Правительства Белгородской области "Об утверждении порядка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агрегаторов".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VIII. Способы подключения объектов информатизации к РС ЕГИСЗ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Подключение объектов информатизации к РС ЕГИСЗ Белгородской области может осуществляться: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 защищенной сети передачи данных министерства здравоохранения Белгородской области VipNet 11754 с использованием продуктов VipNet Network Security (необходимо наличие шлюза безопасности ViPNet Coordinator HW и/или программного комплекса ViPNet Client);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 узлу безопасности доступа ViPNet TLS Gateway с использованием СКЗИ ViPNet PKI Client;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 VPN серверу Континент (необходимо наличие шлюза безопасности Континент);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 узлу безопасности доступа Континент TLS сервер с использованием СКЗИ Континент TLS Клиент.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Запрещается использовать для подключения и эксплуатировать СКЗИ, не имеющие действующий сертификат соответствия ФСБ.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Заявитель обеспечивает приобретение, монтаж (установку) и настройку СКЗИ самостоятельно.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IX. Порядок подключения СКЗИ VipNet Network Security</w:t>
      </w:r>
    </w:p>
    <w:p>
      <w:pPr>
        <w:pStyle w:val="2"/>
        <w:jc w:val="center"/>
      </w:pPr>
      <w:r>
        <w:rPr>
          <w:sz w:val="20"/>
        </w:rPr>
        <w:t xml:space="preserve">к защищенной сети передачи данных министерства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9.1. К ЗСПД разрешается подключать следующие СКЗИ, принадлежащие Заявителям и предназначенные для использования в сети VipNet 11754: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программно-аппаратные комплексы и программное обеспечение ViPNet Coordinator;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программное обеспечение ViPNet Client.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9.2. Изготовление дистрибутивов ключей для подключения СКЗИ к ЗСПД осуществляется центром управления сетью на безвозмездной основе.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9.3. Дистрибутив ключей представляет собой файл или набор файлов, создаваемых центром управления сетью индивидуально для каждого узла ЗСПД, и содержит адресные справочники, ключи криптографического преобразования, данные о лицензиях и другие сведения, необходимые для настройки, первичного запуска и последующей работы узла ЗСПД, а также перечень разрешенных для взаимодействия узлов ЗСПД и порядок взаимодействия с ними.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X. Порядок подключения СКЗИ VipNet TLS к защищенной сети</w:t>
      </w:r>
    </w:p>
    <w:p>
      <w:pPr>
        <w:pStyle w:val="2"/>
        <w:jc w:val="center"/>
      </w:pPr>
      <w:r>
        <w:rPr>
          <w:sz w:val="20"/>
        </w:rPr>
        <w:t xml:space="preserve">передачи данных министерства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</w:r>
    </w:p>
    <w:bookmarkStart w:id="193" w:name="P193"/>
    <w:bookmarkEnd w:id="193"/>
    <w:p>
      <w:pPr>
        <w:pStyle w:val="0"/>
        <w:ind w:firstLine="540"/>
        <w:jc w:val="both"/>
      </w:pPr>
      <w:r>
        <w:rPr>
          <w:sz w:val="20"/>
        </w:rPr>
        <w:t xml:space="preserve">10.1. К узлу безопасного доступа ViPNet TLS Gateway разрешается подключать следующие СКЗИ, принадлежащие Заявителям: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программное обеспечение ViPNet PKI Client;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иные СКЗИ, совместимые с ViPNet TLS Gateway.</w:t>
      </w:r>
    </w:p>
    <w:bookmarkStart w:id="196" w:name="P196"/>
    <w:bookmarkEnd w:id="19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10.2. В случае если доступ к информационному ресурсу предоставляется с использованием технологии двусторонней аутентификации: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каждый пользователь данного ресурса должен быть дополнительно оснащен квалифицированным сертификатом ключа проверки электронной подписи, соответствующим требованиям, установленным Федеральным </w:t>
      </w:r>
      <w:hyperlink w:history="0" r:id="rId22" w:tooltip="Федеральный закон от 06.04.2011 N 63-ФЗ (ред. от 04.08.2023) &quot;Об электронной подписи&quot; (с изм. и доп., вступ. в силу с 01.09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6 апреля 2011 года N 63-ФЗ "Об электронной подписи";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Заявитель направляет Оператору РС ЕГИСЗ Белгородской области вместе с Заявкой квалифицированный сертификат ключа проверки электронной подписи этих пользователей в электронном виде.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10.3. Для получения доступа к ресурсам, доступ к которым предоставляется с использованием технологии односторонней аутентификации, на автоматизированном рабочем месте пользователя должны быть корректно настроены СКЗИ, указанные в </w:t>
      </w:r>
      <w:hyperlink w:history="0" w:anchor="P193" w:tooltip="10.1. К узлу безопасного доступа ViPNet TLS Gateway разрешается подключать следующие СКЗИ, принадлежащие Заявителям:">
        <w:r>
          <w:rPr>
            <w:sz w:val="20"/>
            <w:color w:val="0000ff"/>
          </w:rPr>
          <w:t xml:space="preserve">пунктах 10.1</w:t>
        </w:r>
      </w:hyperlink>
      <w:r>
        <w:rPr>
          <w:sz w:val="20"/>
        </w:rPr>
        <w:t xml:space="preserve">, </w:t>
      </w:r>
      <w:hyperlink w:history="0" w:anchor="P196" w:tooltip="10.2. В случае если доступ к информационному ресурсу предоставляется с использованием технологии двусторонней аутентификации:">
        <w:r>
          <w:rPr>
            <w:sz w:val="20"/>
            <w:color w:val="0000ff"/>
          </w:rPr>
          <w:t xml:space="preserve">10.2</w:t>
        </w:r>
      </w:hyperlink>
      <w:r>
        <w:rPr>
          <w:sz w:val="20"/>
        </w:rPr>
        <w:t xml:space="preserve"> настоящего раздела.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XI. Порядок подключения СКЗИ Континент VPN к защищенной сети</w:t>
      </w:r>
    </w:p>
    <w:p>
      <w:pPr>
        <w:pStyle w:val="2"/>
        <w:jc w:val="center"/>
      </w:pPr>
      <w:r>
        <w:rPr>
          <w:sz w:val="20"/>
        </w:rPr>
        <w:t xml:space="preserve">передачи данных министерства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11.1. К ЗСПД разрешается подключать следующие СКЗИ, принадлежащие Заявителям и предназначенные для использования в сети VipNet 11754: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программно-аппаратные комплексы и программное обеспечение ViPNet Coordinator;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программное обеспечение ViPNet Client.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11.2. Изготовление дистрибутивов ключей для подключения СКЗИ к ЗСПД осуществляется на безвозмездной основе.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11.3. Дистрибутив ключей представляет собой файл или набор файлов, создаваемых центром управления сетью индивидуально для каждого узла ЗСПД, и содержит адресные справочники, ключи криптографического преобразования, данные о лицензиях и другие сведения, необходимые для настройки, первичного запуска и последующей работы узла ЗСПД, а также перечень разрешенных для взаимодействия узлов ЗСПД и порядок взаимодействия с ними.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XII. Порядок подключения СКЗИ Континент TLS к защищенной</w:t>
      </w:r>
    </w:p>
    <w:p>
      <w:pPr>
        <w:pStyle w:val="2"/>
        <w:jc w:val="center"/>
      </w:pPr>
      <w:r>
        <w:rPr>
          <w:sz w:val="20"/>
        </w:rPr>
        <w:t xml:space="preserve">сети передачи данных министерства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</w:r>
    </w:p>
    <w:bookmarkStart w:id="215" w:name="P215"/>
    <w:bookmarkEnd w:id="215"/>
    <w:p>
      <w:pPr>
        <w:pStyle w:val="0"/>
        <w:ind w:firstLine="540"/>
        <w:jc w:val="both"/>
      </w:pPr>
      <w:r>
        <w:rPr>
          <w:sz w:val="20"/>
        </w:rPr>
        <w:t xml:space="preserve">12.1. К узлу безопасного доступа Континент TLS сервер разрешается подключать следующие СКЗИ, принадлежащие Заявителям: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программное обеспечение Континент TLS Клиент;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программное обеспечение КриптоПРО CSP;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иные СКЗИ, совместимые с Континент TLS сервер.</w:t>
      </w:r>
    </w:p>
    <w:bookmarkStart w:id="219" w:name="P219"/>
    <w:bookmarkEnd w:id="21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12.2. В случае если доступ к информационному ресурсу предоставляется с использованием технологии двусторонней аутентификации: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каждый пользователь данного ресурса должен быть дополнительно оснащен квалифицированным сертификатом ключа проверки электронной подписи, соответствующим требованиям, установленным Федеральным </w:t>
      </w:r>
      <w:hyperlink w:history="0" r:id="rId23" w:tooltip="Федеральный закон от 06.04.2011 N 63-ФЗ (ред. от 04.08.2023) &quot;Об электронной подписи&quot; (с изм. и доп., вступ. в силу с 01.09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6 апреля 2011 года N 63-ФЗ "Об электронной подписи";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Заявитель направляет оператору РС ЕГИСЗ Белгородской области вместе с Заявкой перечень пользователей с указанием информационных ресурсов РС ЕГИСЗ Белгородской области, доступ к которым предоставляется с использованием технологии двусторонней аутентификации, а также квалифицированный сертификат ключа проверки электронной подписи данных пользователей в электронном виде.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12.3. Для получения доступа к ресурсам, доступ к которым предоставляется с использованием технологии односторонней аутентификации, на автоматизированном рабочем месте пользователя должны быть корректно настроены СКЗИ, указанные в </w:t>
      </w:r>
      <w:hyperlink w:history="0" w:anchor="P215" w:tooltip="12.1. К узлу безопасного доступа Континент TLS сервер разрешается подключать следующие СКЗИ, принадлежащие Заявителям:">
        <w:r>
          <w:rPr>
            <w:sz w:val="20"/>
            <w:color w:val="0000ff"/>
          </w:rPr>
          <w:t xml:space="preserve">пунктах 12.1</w:t>
        </w:r>
      </w:hyperlink>
      <w:r>
        <w:rPr>
          <w:sz w:val="20"/>
        </w:rPr>
        <w:t xml:space="preserve">, </w:t>
      </w:r>
      <w:hyperlink w:history="0" w:anchor="P219" w:tooltip="12.2. В случае если доступ к информационному ресурсу предоставляется с использованием технологии двусторонней аутентификации:">
        <w:r>
          <w:rPr>
            <w:sz w:val="20"/>
            <w:color w:val="0000ff"/>
          </w:rPr>
          <w:t xml:space="preserve">12.2</w:t>
        </w:r>
      </w:hyperlink>
      <w:r>
        <w:rPr>
          <w:sz w:val="20"/>
        </w:rPr>
        <w:t xml:space="preserve"> настоящего раздела.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XIII. Приостановление доступа</w:t>
      </w:r>
    </w:p>
    <w:p>
      <w:pPr>
        <w:pStyle w:val="0"/>
        <w:jc w:val="center"/>
      </w:pPr>
      <w:r>
        <w:rPr>
          <w:sz w:val="20"/>
        </w:rPr>
      </w:r>
    </w:p>
    <w:bookmarkStart w:id="226" w:name="P226"/>
    <w:bookmarkEnd w:id="226"/>
    <w:p>
      <w:pPr>
        <w:pStyle w:val="0"/>
        <w:ind w:firstLine="540"/>
        <w:jc w:val="both"/>
      </w:pPr>
      <w:r>
        <w:rPr>
          <w:sz w:val="20"/>
        </w:rPr>
        <w:t xml:space="preserve">13.1. Подключение участника информационного взаимодействия к ЗСПД может быть прекращено Оператором РС ЕГИСЗ Белгородской области в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13.1.1. Нарушения участником информационного взаимодействия требований передачи и безопасности информации, предусмотренных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13.1.2. Нарушения участником информационного взаимодействия установленных Требований по ИБ к используемым средствам и системам обеспечения информационного обмена, межсетевого взаимодействия и защиты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13.1.3. Выявления на основании официальных обращений физических или юридических лиц подтвержденных уполномоченными органами фактов неправомерных действий участника информационного взаимодействия по отношению к иным участникам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13.1.4. Приостановление действия лицензии на осуществление фармацевтической деятельности у участника информационного взаимодействия в соответствии с требованиями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13.2. В срок, не превышающий 3 (трех) рабочих дней с момента обнаружения одного или нескольких нарушений, предусмотренных </w:t>
      </w:r>
      <w:hyperlink w:history="0" w:anchor="P226" w:tooltip="13.1. Подключение участника информационного взаимодействия к ЗСПД может быть прекращено Оператором РС ЕГИСЗ Белгородской области в случаях:">
        <w:r>
          <w:rPr>
            <w:sz w:val="20"/>
            <w:color w:val="0000ff"/>
          </w:rPr>
          <w:t xml:space="preserve">пунктом 13.1 раздела XIII</w:t>
        </w:r>
      </w:hyperlink>
      <w:r>
        <w:rPr>
          <w:sz w:val="20"/>
        </w:rPr>
        <w:t xml:space="preserve"> настоящего Порядка, Оператор РС ЕГИСЗ Белгородской области направляет участнику информационного взаимодействия уведомление в письменной форме с указанием основания, которое может послужить приостановлением подключения к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13.3. В случае если одно или несколько нарушений, предусмотренных пунктом 13.1 раздела XIII Порядка, будет допущено участником информационного взаимодействия, участник информационного взаимодействия обязан также в срок, не превышающий 3 (трех) рабочих дней, проинформировать Оператора РС ЕГИСЗ Белгородской области о предполагаемых сроках устранения допущенного нарушения. В случае неустранения участником информационного взаимодействия нарушения в установленные сроки передача информации посредством ЗСПД приостанавливается.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13.4. В случае выявления на основании официальных обращений физических или юридических лиц подтвержденных уполномоченными органами фактов неправомерных действий участника по отношению к ЗСПД, доступ участника к ЗСПД незамедлительно приостанавливается без предварительного уведомления с последующим его восстановлением после устранения выявленного нарушения.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доступа к</w:t>
      </w:r>
    </w:p>
    <w:p>
      <w:pPr>
        <w:pStyle w:val="0"/>
        <w:jc w:val="right"/>
      </w:pPr>
      <w:r>
        <w:rPr>
          <w:sz w:val="20"/>
        </w:rPr>
        <w:t xml:space="preserve">защищенной сети передачи данных</w:t>
      </w:r>
    </w:p>
    <w:p>
      <w:pPr>
        <w:pStyle w:val="0"/>
        <w:jc w:val="right"/>
      </w:pPr>
      <w:r>
        <w:rPr>
          <w:sz w:val="20"/>
        </w:rPr>
        <w:t xml:space="preserve">регионального сегмента единой</w:t>
      </w:r>
    </w:p>
    <w:p>
      <w:pPr>
        <w:pStyle w:val="0"/>
        <w:jc w:val="right"/>
      </w:pPr>
      <w:r>
        <w:rPr>
          <w:sz w:val="20"/>
        </w:rPr>
        <w:t xml:space="preserve">государственной информационной системы</w:t>
      </w:r>
    </w:p>
    <w:p>
      <w:pPr>
        <w:pStyle w:val="0"/>
        <w:jc w:val="right"/>
      </w:pPr>
      <w:r>
        <w:rPr>
          <w:sz w:val="20"/>
        </w:rPr>
        <w:t xml:space="preserve">в сфере 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 для аптечных организаций</w:t>
      </w:r>
    </w:p>
    <w:p>
      <w:pPr>
        <w:pStyle w:val="0"/>
        <w:jc w:val="right"/>
      </w:pPr>
      <w:r>
        <w:rPr>
          <w:sz w:val="20"/>
        </w:rPr>
        <w:t xml:space="preserve">и владельцев агрегаторов</w:t>
      </w:r>
    </w:p>
    <w:p>
      <w:pPr>
        <w:pStyle w:val="0"/>
        <w:jc w:val="center"/>
      </w:pPr>
      <w:r>
        <w:rPr>
          <w:sz w:val="20"/>
        </w:rPr>
      </w:r>
    </w:p>
    <w:bookmarkStart w:id="248" w:name="P248"/>
    <w:bookmarkEnd w:id="248"/>
    <w:p>
      <w:pPr>
        <w:pStyle w:val="0"/>
        <w:jc w:val="center"/>
      </w:pPr>
      <w:r>
        <w:rPr>
          <w:sz w:val="20"/>
        </w:rPr>
        <w:t xml:space="preserve">Заявка</w:t>
      </w:r>
    </w:p>
    <w:p>
      <w:pPr>
        <w:pStyle w:val="0"/>
        <w:jc w:val="center"/>
      </w:pPr>
      <w:r>
        <w:rPr>
          <w:sz w:val="20"/>
        </w:rPr>
        <w:t xml:space="preserve">на подключение к защищенной сети передачи данных</w:t>
      </w:r>
    </w:p>
    <w:p>
      <w:pPr>
        <w:pStyle w:val="0"/>
        <w:jc w:val="center"/>
      </w:pPr>
      <w:r>
        <w:rPr>
          <w:sz w:val="20"/>
        </w:rPr>
        <w:t xml:space="preserve">регионального сегмента единой государственной информационной</w:t>
      </w:r>
    </w:p>
    <w:p>
      <w:pPr>
        <w:pStyle w:val="0"/>
        <w:jc w:val="center"/>
      </w:pPr>
      <w:r>
        <w:rPr>
          <w:sz w:val="20"/>
        </w:rPr>
        <w:t xml:space="preserve">системы в сфере здравоохранения Белгородской области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3"/>
        <w:gridCol w:w="1304"/>
        <w:gridCol w:w="2041"/>
        <w:gridCol w:w="3798"/>
      </w:tblGrid>
      <w:tr>
        <w:tc>
          <w:tcPr>
            <w:gridSpan w:val="4"/>
            <w:tcW w:w="90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540"/>
              <w:jc w:val="both"/>
            </w:pPr>
            <w:r>
              <w:rPr>
                <w:sz w:val="20"/>
              </w:rPr>
              <w:t xml:space="preserve">В соответствии с Порядком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 __________________________________________________________________________</w:t>
            </w:r>
          </w:p>
          <w:p>
            <w:pPr>
              <w:pStyle w:val="0"/>
              <w:ind w:left="3780"/>
              <w:jc w:val="both"/>
            </w:pPr>
            <w:r>
              <w:rPr>
                <w:sz w:val="20"/>
              </w:rPr>
              <w:t xml:space="preserve">наименование организации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лице ___________________________________________________________________,</w:t>
            </w:r>
          </w:p>
          <w:p>
            <w:pPr>
              <w:pStyle w:val="0"/>
              <w:ind w:left="2700"/>
              <w:jc w:val="both"/>
            </w:pPr>
            <w:r>
              <w:rPr>
                <w:sz w:val="20"/>
              </w:rPr>
              <w:t xml:space="preserve">должность, И.О.Фамилия руководителя организации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действующего на основании 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просит осуществить подключение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объектов информатизации, указанных в пояснительной записке.</w:t>
            </w:r>
          </w:p>
          <w:p>
            <w:pPr>
              <w:pStyle w:val="0"/>
              <w:ind w:firstLine="540"/>
              <w:jc w:val="both"/>
            </w:pPr>
            <w:r>
              <w:rPr>
                <w:sz w:val="20"/>
              </w:rPr>
              <w:t xml:space="preserve">Ответственным за организацию и обеспечение подключения объектов информатизации является: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должность, И.О. Фамилия, телефон и адрес электронной почты</w:t>
            </w:r>
          </w:p>
          <w:p>
            <w:pPr>
              <w:pStyle w:val="0"/>
              <w:ind w:firstLine="540"/>
              <w:jc w:val="both"/>
            </w:pPr>
            <w:r>
              <w:rPr>
                <w:sz w:val="20"/>
              </w:rPr>
              <w:t xml:space="preserve">Ответственным за обеспечение безопасности информации является: 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должность, И.О. Фамилия, телефон и адрес электронной почты</w:t>
            </w:r>
          </w:p>
          <w:p>
            <w:pPr>
              <w:pStyle w:val="0"/>
              <w:ind w:firstLine="540"/>
              <w:jc w:val="both"/>
            </w:pPr>
            <w:r>
              <w:rPr>
                <w:sz w:val="20"/>
              </w:rPr>
              <w:t xml:space="preserve">Ответственным за организацию обработки персональных данных является: __________________________________________________________________________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должность, И.О. Фамилия, телефон и адрес электронной почты</w:t>
            </w:r>
          </w:p>
          <w:p>
            <w:pPr>
              <w:pStyle w:val="0"/>
              <w:ind w:firstLine="540"/>
              <w:jc w:val="both"/>
            </w:pPr>
            <w:r>
              <w:rPr>
                <w:sz w:val="20"/>
              </w:rPr>
              <w:t xml:space="preserve">Номер регистрации (OID) в Федеральном регистре медицинских организаций _____________________ и Федеральном регистре медицинских работников (ФРМР) ______________________.</w:t>
            </w:r>
          </w:p>
        </w:tc>
      </w:tr>
      <w:t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Приложение:</w:t>
            </w:r>
          </w:p>
        </w:tc>
        <w:tc>
          <w:tcPr>
            <w:gridSpan w:val="3"/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Пояснительная записка, на ___л., в 1 экз.</w:t>
            </w:r>
          </w:p>
          <w:p>
            <w:pPr>
              <w:pStyle w:val="0"/>
            </w:pPr>
            <w:r>
              <w:rPr>
                <w:sz w:val="20"/>
              </w:rPr>
              <w:t xml:space="preserve">Иные приложения</w:t>
            </w:r>
          </w:p>
        </w:tc>
      </w:tr>
      <w:tr>
        <w:tc>
          <w:tcPr>
            <w:gridSpan w:val="4"/>
            <w:tcW w:w="90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 руководителя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И.О. Фамилия руководителя</w:t>
            </w:r>
          </w:p>
        </w:tc>
      </w:tr>
      <w:tr>
        <w:tc>
          <w:tcPr>
            <w:gridSpan w:val="2"/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доступа к</w:t>
      </w:r>
    </w:p>
    <w:p>
      <w:pPr>
        <w:pStyle w:val="0"/>
        <w:jc w:val="right"/>
      </w:pPr>
      <w:r>
        <w:rPr>
          <w:sz w:val="20"/>
        </w:rPr>
        <w:t xml:space="preserve">защищенной сети передачи данных</w:t>
      </w:r>
    </w:p>
    <w:p>
      <w:pPr>
        <w:pStyle w:val="0"/>
        <w:jc w:val="right"/>
      </w:pPr>
      <w:r>
        <w:rPr>
          <w:sz w:val="20"/>
        </w:rPr>
        <w:t xml:space="preserve">регионального сегмента единой</w:t>
      </w:r>
    </w:p>
    <w:p>
      <w:pPr>
        <w:pStyle w:val="0"/>
        <w:jc w:val="right"/>
      </w:pPr>
      <w:r>
        <w:rPr>
          <w:sz w:val="20"/>
        </w:rPr>
        <w:t xml:space="preserve">государственной информационной системы</w:t>
      </w:r>
    </w:p>
    <w:p>
      <w:pPr>
        <w:pStyle w:val="0"/>
        <w:jc w:val="right"/>
      </w:pPr>
      <w:r>
        <w:rPr>
          <w:sz w:val="20"/>
        </w:rPr>
        <w:t xml:space="preserve">в сфере 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 для аптечных организаций</w:t>
      </w:r>
    </w:p>
    <w:p>
      <w:pPr>
        <w:pStyle w:val="0"/>
        <w:jc w:val="right"/>
      </w:pPr>
      <w:r>
        <w:rPr>
          <w:sz w:val="20"/>
        </w:rPr>
        <w:t xml:space="preserve">и владельцев агрегаторов</w:t>
      </w:r>
    </w:p>
    <w:p>
      <w:pPr>
        <w:pStyle w:val="0"/>
        <w:jc w:val="center"/>
      </w:pPr>
      <w:r>
        <w:rPr>
          <w:sz w:val="20"/>
        </w:rPr>
      </w:r>
    </w:p>
    <w:bookmarkStart w:id="294" w:name="P294"/>
    <w:bookmarkEnd w:id="294"/>
    <w:p>
      <w:pPr>
        <w:pStyle w:val="0"/>
        <w:jc w:val="center"/>
      </w:pPr>
      <w:r>
        <w:rPr>
          <w:sz w:val="20"/>
        </w:rPr>
        <w:t xml:space="preserve">Сведения</w:t>
      </w:r>
    </w:p>
    <w:p>
      <w:pPr>
        <w:pStyle w:val="0"/>
        <w:jc w:val="center"/>
      </w:pPr>
      <w:r>
        <w:rPr>
          <w:sz w:val="20"/>
        </w:rPr>
        <w:t xml:space="preserve">о средствах криптографической защиты информации,</w:t>
      </w:r>
    </w:p>
    <w:p>
      <w:pPr>
        <w:pStyle w:val="0"/>
        <w:jc w:val="center"/>
      </w:pPr>
      <w:r>
        <w:rPr>
          <w:sz w:val="20"/>
        </w:rPr>
        <w:t xml:space="preserve">используемых для подключения к защищенной сети передачи</w:t>
      </w:r>
    </w:p>
    <w:p>
      <w:pPr>
        <w:pStyle w:val="0"/>
        <w:jc w:val="center"/>
      </w:pPr>
      <w:r>
        <w:rPr>
          <w:sz w:val="20"/>
        </w:rPr>
        <w:t xml:space="preserve">данных регионального сегмента единой государственной</w:t>
      </w:r>
    </w:p>
    <w:p>
      <w:pPr>
        <w:pStyle w:val="0"/>
        <w:jc w:val="center"/>
      </w:pPr>
      <w:r>
        <w:rPr>
          <w:sz w:val="20"/>
        </w:rPr>
        <w:t xml:space="preserve">информационной системы в сфере здравоохранения</w:t>
      </w:r>
    </w:p>
    <w:p>
      <w:pPr>
        <w:pStyle w:val="0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191"/>
        <w:gridCol w:w="619"/>
        <w:gridCol w:w="844"/>
        <w:gridCol w:w="1077"/>
        <w:gridCol w:w="994"/>
        <w:gridCol w:w="1304"/>
        <w:gridCol w:w="1304"/>
        <w:gridCol w:w="1077"/>
        <w:gridCol w:w="1247"/>
        <w:gridCol w:w="1429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gridSpan w:val="2"/>
            <w:tcW w:w="18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Заявитель </w:t>
            </w:r>
            <w:hyperlink w:history="0" w:anchor="P340" w:tooltip="&lt;*&gt; Заявитель - юридическое лицо, направившее заявку на подключение объекта информатизации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gridSpan w:val="6"/>
            <w:tcW w:w="660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Сведения о средствах криптографической защиты информации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сокращенное наименование поставщика СКЗИ</w:t>
            </w:r>
          </w:p>
        </w:tc>
        <w:tc>
          <w:tcPr>
            <w:tcW w:w="142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 работника Заявителя, контактный тел. и адрес электронной почты</w:t>
            </w:r>
          </w:p>
        </w:tc>
      </w:tr>
      <w:tr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и сокращенное наименование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тип, модель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регистрационный номер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учетный номер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серийный номер дистрибутива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подключаемых средств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размещения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24"/>
          <w:headerReference w:type="first" r:id="rId24"/>
          <w:footerReference w:type="default" r:id="rId25"/>
          <w:footerReference w:type="first" r:id="rId2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Примечание: информация о каждом средстве криптографической защиты информации указывается отдельной строкой (тип, серийный номер дистрибутива, регистрационный номер и учетный номер указываются согласно формуляру).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340" w:name="P340"/>
    <w:bookmarkEnd w:id="34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Заявитель - юридическое лицо, направившее заявку на подключение объекта информатизации.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марта 2023 г. N 126-пп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right"/>
      </w:pPr>
      <w:r>
        <w:rPr>
          <w:sz w:val="20"/>
        </w:rPr>
      </w:r>
    </w:p>
    <w:bookmarkStart w:id="355" w:name="P355"/>
    <w:bookmarkEnd w:id="355"/>
    <w:p>
      <w:pPr>
        <w:pStyle w:val="0"/>
        <w:jc w:val="center"/>
      </w:pPr>
      <w:r>
        <w:rPr>
          <w:sz w:val="20"/>
        </w:rPr>
        <w:t xml:space="preserve">Соглашение</w:t>
      </w:r>
    </w:p>
    <w:p>
      <w:pPr>
        <w:pStyle w:val="0"/>
        <w:jc w:val="center"/>
      </w:pPr>
      <w:r>
        <w:rPr>
          <w:sz w:val="20"/>
        </w:rPr>
        <w:t xml:space="preserve">о предоставлении доступа к защищенной сети передачи данных</w:t>
      </w:r>
    </w:p>
    <w:p>
      <w:pPr>
        <w:pStyle w:val="0"/>
        <w:jc w:val="center"/>
      </w:pPr>
      <w:r>
        <w:rPr>
          <w:sz w:val="20"/>
        </w:rPr>
        <w:t xml:space="preserve">регионального сегмента единой государственной информационной</w:t>
      </w:r>
    </w:p>
    <w:p>
      <w:pPr>
        <w:pStyle w:val="0"/>
        <w:jc w:val="center"/>
      </w:pPr>
      <w:r>
        <w:rPr>
          <w:sz w:val="20"/>
        </w:rPr>
        <w:t xml:space="preserve">системы в сфере здравоохранения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для аптечных организаций и владельцев агрегаторов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Областное казенное учреждение здравоохранения особого типа "Медицинский информационно-аналитический центр", являющееся в соответствии с </w:t>
      </w:r>
      <w:hyperlink w:history="0" r:id="rId26" w:tooltip="Распоряжение Правительства Белгородской обл. от 10.05.2016 N 208-рп &quot;О региональном сегменте единой государственной информационной системы в сфере здравоохранения Белгородской области&quot; (вместе с &quot;Положением о региональном сегменте единой государственной информационной системы в сфере здравоохранения Белгородской области&quot;)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Белгородской области от 10 мая 2016 года N 208-рп "О Региональном сегменте Единой государственной информационной системы в сфере здравоохранения Белгородской области", распоряжением заместителя Губернатора Белгородской области от 15 ноября 2019 года N 3 "О наделении полномочиями оператора регионального сегмента единой государственной информационной системы в сфере здравоохранения Белгородской области" оператором единой защищенной сети передачи данных, именуемое в дальнейшем "Оператор", в лице директора _________________, действующего на основании Устава, с одной стороны, и ________________, именуемое в дальнейшем "Участник", в лице _______________________, действующего на основании Устава, в дальнейшем совместно именуемые "Стороны", заключили настоящее Соглашение о нижеследующем.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Основанием Соглашения является реализация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 в Белгородской области, установленным в соответствии с Федеральным </w:t>
      </w:r>
      <w:hyperlink w:history="0" r:id="rId27" w:tooltip="Федеральный закон от 20.10.2022 N 405-ФЗ &quot;О внесении изменений в Федеральный закон &quot;Об обращении лекарственных средств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20 октября 2022 года N 405-ФЗ "О внесении изменений в Федеральный закон "Об обращении лекарственных средств".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Предметом Соглашения является осуществление взаимодействия Сторон по предоставлению доступа участнику к защищенной сети передачи данных министерства здравоохранения Белгородской области (далее - ЗСПД) в целях организации защищенного документооборота в рамках обмена информацией между пользователями ЗСПД - участниками защищенного информационного обмена.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Стороны при осуществлении взаимодействия в рамках Соглашения руководствуются: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Федеральным </w:t>
      </w:r>
      <w:hyperlink w:history="0" r:id="rId28" w:tooltip="Федеральный закон от 27.07.2006 N 149-ФЗ (ред. от 12.12.2023) &quot;Об информации, информационных технологиях и о защите информ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2006 года N 149-ФЗ "Об информации, информационных технологиях и о защите информации";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Федеральным </w:t>
      </w:r>
      <w:hyperlink w:history="0" r:id="rId29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2006 года N 152-ФЗ "О персональных данных";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0" w:tooltip="Постановление Правительства РФ от 22.02.2023 N 292 &quot;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22 февраля 2023 года N 292 "Об утверждении Положения о порядке проведения эксперимента по осуществлению розничной торговли лекарственными препаратами для медицинского применения, отпускаемыми по рецепту на лекарственный препарат, дистанционным способом";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1" w:tooltip="Распоряжение Правительства Белгородской обл. от 10.05.2016 N 208-рп &quot;О региональном сегменте единой государственной информационной системы в сфере здравоохранения Белгородской области&quot; (вместе с &quot;Положением о региональном сегменте единой государственной информационной системы в сфере здравоохранения Белгородской области&quot;)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Белгородской области от 10 мая 2016 года N 208-рп "О Региональном сегменте Единой государственной информационной системы в сфере здравоохранения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распоряжением Правительства Белгородской области от 8 апреля 2013 года N 174-рп "Об операторе информационных систем в сфере здравоохранения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риказ ФСТЭК России от 18.02.2013 N 21 (ред. от 14.05.2020) &quot;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&quot; (Зарегистрировано в Минюсте России 14.05.2013 N 28375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Федеральной службы по техническому и экспортному контролю от 18 февраля 2013 года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3" w:tooltip="Приказ ФСТЭК России от 11.02.2013 N 17 (ред. от 28.05.2019) &quot;Об утверждении Требований о защите информации, не составляющей государственную тайну, содержащейся в государственных информационных системах&quot; (Зарегистрировано в Минюсте России 31.05.2013 N 28608) (с изм. и доп., вступ. в силу с 01.01.2021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Федеральной службы по техническому и экспортному контролю от 11 февраля 2013 года N 17 "Об утверждении Требований о защите информации, не составляющей государственную тайну, содержащейся в государственных информационных системах".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Заключение Сторонами настоящего Соглашения является необходимым условием для проведения мероприятий по подключению участника к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Реализация эксперимента осуществляется в пределах территории Белгородской области с 1 марта 2023 года по 1 марта 2026 года.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2. Порядок взаимодействия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Информационное взаимодействие осуществляется путем обмена обезличенными сведениями, не содержащими сведения, в отношении которых действует режим конфиденциальности, и сведениями, не отнесенными к врачебной тайне, при помощи платформы электронного рецепта, являющейся частью РС ЕГИСЗ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Участник осуществляет запрос с платформы электронного рецепта по серии и номеру рецепта, СНИЛС пациента. Если рецепт валиден (допускает отпуск препарата по нему данной аптечной организацией), платформа электронного рецепта передает информацию в следующем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серия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дата выписки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дата окончания действия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признак, что рецепт выписан по хроническому заболеванию;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форма рецептурного бланка;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признак того, что рецепт бумажный;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пациенте (СНИЛС, номер мобильного телефона);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об организации, выписавшей рецепт (наименование организации, ОГРН/ОГРНИП, ИНН, фамилия, имя, отчество руководителя, телефон руководителя, регистрационный номер (далее - OID) медицинской организации в Федеральном регистре медицинских организаций (далее - ФРМО), адрес организации, номер лицензии);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подразделении организации (наименование, уникальный код подразделения, OID подразделения по ФРМО, телефон руководителя, адрес, код вида подразделения);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выписанном лекарственном препарате (наименование, схема приема, особые указания, количество назначенных единиц, тип назначения рецепта, код лекарственного препарата, латинское наименование лекарственного препарата, латинское наименование лекарственной формы);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код субъекта РФ;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периодичность отпуска;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СНИЛС представителя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мобильного телефона представителя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СЭМД "Рецепт на лекарственный препарат" или СЭМД "Льготный рецепт на лекарственный препарат, изделие медицинского назначения и специализированный продукт лечебного питания";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информация о предыдущих отпусках по данному рецепту в том случае, когда допускается частичный отпуск по рецепту.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рецепт не валиден (недействителен, просрочен, уже обслужен, не может быть обслужен в данной аптечной организации), платформа электронного рецепта передает информацию о причинах невозможности обслуживания рецепта.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невозможности отпуска лекарственного препарата по электронному рецепту работник аптечной организации информирует пациента (представителя пациента) о причинах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При отпуске лекарственного препарата по электронному рецепту Участник передает на платформу электронного рецепта данные об отпущенном лекарственном препарате (наименование и количество упаковок) и фармацевтическом работнике, осуществившем отпуск.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3. Права и обязанности Сторон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Оператор обязуется: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3.1.1. Обеспечивать организационное сопровождение и функционирование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3.1.2. Обеспечивать работоспособность и безопасность используемых оператором программно-аппаратных и программных средств, необходимых для функционирования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3.1.3. Обеспечивать предоставление информационной и методической поддержки Участнику.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3.1.4. 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передаваемой с использованием ЗСПД, в том числе к персональным данным.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3.1.5. Информировать Участника об обнаруженной временной организационной и (или) технической невозможности выполнения обязательств по настоящему Соглашению.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3.1.6. В случае инцидента с утечкой данных уведомить о случившемся Роскомнадзор в течение 24 часов и представить сведения о лицах, действия которых стали причиной инцидента (при наличии).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Участник обязуется: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3.2.1. Соблюдать установленные федеральными и региональными правовыми актами требования к инфраструктуре информационной безопасности по обеспечению защиты информации, передаваемой по каналам связи защищенной сети регионального сегмента единой государственной информационной системы в сфере здравоохранения Белгородской области, требования к средствам и системам обеспечения информационного обмена, межсетевого взаимодействия и защите информации (далее - Требования по ИБ).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3.2.2. Информировать Оператора об обнаруженной организационной и (или) технической невозможности выполнения обязательств по Соглашению.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3.2.3. В полном объеме информировать Оператора обо всех планируемых и (или) произведенных изменениях в составе используемых Участником средств и систем обеспечения информационного обмена, межсетевого взаимодействия и защиты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3.2.4. Устранять допущенные отступления от условий Соглашения самостоятельно и за свой счет.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3.2.5. Обеспечивать достоверность и актуальность сведений, предоставляемых Оператору, необходимых для исполнения Оператором предусмотренных Соглашением обязанностей.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3.2.6. Обеспечивать изменение (актуализацию) переданных сведений в случае установления их недостоверности.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3.2.7. Обеспечивать работоспособность и безопасность используемых Участником программно-аппаратных и программных средств, необходимых для функционирования ЗСПД в соответствии с Требованиями по ИБ.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3.2.8. Обеспечивать установку, настройку и техническое сопровождение используемых Участником программных и программно-аппаратных средств защиты информации Участника сертифицированным специалистом или организацией, имеющей соответствующие лицензии на работу с криптографическими средствами.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3.2.9. 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получаемой и передаваемой при помощи ЗСПД, в том числе к персональным данным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3.2.10. Не производить действия, направленные на нарушение информационной безопасности ЗСПД или информационных систем иных участников, подключенных к ЗСПД (деструктивные действия).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Оператор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3.3.1. Запрашивать у Участника сведения о выполнении установленных Требований по ИБ к средствам и системам обеспечения информационного обмена, межсетевого взаимодействия и защите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3.3.2. Проводить мониторинг и анализ действий Участника.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3.3.3. Предпринимать меры, направленные на предотвращение и устранение выявленных нарушений.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3.3.4. Вносить изменения и дополнения в Требования по ИБ с обязательным уведомлением Участника о планируемых изменениях.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3.3.5. В ходе проведения пилотного проекта уточнять и изменять формат и состав данных, подлежащих обмену, по согласованию сторон.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3.3.6. Не принимать и не исполнять информационные запросы с электронной подписью, в отношении которой было уведомление о компрометации ключа электронной подписи, если информационные запросы должны быть заверены усиленной квалифицированной электронной подписью.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Участник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3.4.1. На обращение к Оператору за информационной и методической поддержкой по вопросам исполнения Требований по ИБ.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3.4.2. Вносить предложения о необходимых улучшениях в части функционирования ЗСПД.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4. Ответственность Сторон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Стороны несут ответственность за неисполнение или ненадлежащее исполнение своих обязательств по Соглашению в соответствии с законодательством Российской Федерации и условиями настоящего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Оператор несет ответственность за работоспособность и безопасность используемых программно-аппаратных и программных средств, необходимых для функционирования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Участник несет ответственность: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4.3.1. За состояние используемых Участником каналов связи, средств и систем обеспечения информационного обмена, межсетевого взаимодействия и защиты информации, соответствие действующим требованиям мероприятий по технической защите информации в информационных системах Участника.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4.3.2. Достоверность информации (данных), предоставляемой(ых) Участником посредством ЗСПД иным участникам.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4.3.3. Аварии, сбои или перебои в обслуживании используемых Участником программных, программно-аппаратных компонентов информационных систем, средств и систем обеспечения информационного обмена, межсетевого взаимодействия и защиты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4.3.4. Состояние неработоспособности системы взаимодействия, вызванной необходимостью добавления или удаления сетевых узлов Участника, имеющих доступ к ЗСПД (под сетевыми узлами понимаются VipNet координаторы и VipNet клиенты), смены ключевой информации, требующей двухстороннего взаимодействия Оператора и Участника, проведения дополнительных настроек, требуемых при добавлении новых сервисов на стороне Участника, либо в случае других изменений, требующих модификации правил фильтрации либо трансляции на стороне Оператора.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4.3.5. Ущерб, понесенный Участником в результате нарушения им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4.3.6. Утечку персональных данных.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Участник освобождается от ответственности за причиненный Оператору и иным участникам ЗСПД ущерб при отсутствии вины Участника.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5. Обстоятельства непреодолимой силы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49" w:name="P449"/>
    <w:bookmarkEnd w:id="449"/>
    <w:p>
      <w:pPr>
        <w:pStyle w:val="0"/>
        <w:ind w:firstLine="540"/>
        <w:jc w:val="both"/>
      </w:pPr>
      <w:r>
        <w:rPr>
          <w:sz w:val="20"/>
        </w:rPr>
        <w:t xml:space="preserve">5.1. Стороны освобождаются от ответственности за полное или частичное неисполнение своих обязательств по Соглашению в случае, если оно явилось следствием обстоятельств непреодолимой силы, изменений законодательства, препятствующих надлежащему исполнению обязательств по Соглашению, а также других чрезвычайных обстоятельств, которые возникли после заключения Соглашения и непосредственно повлияли на исполнение Сторонами своих обязательств, а также которые Стороны были не в состоянии предвидеть и предотвратить.</w:t>
      </w:r>
    </w:p>
    <w:bookmarkStart w:id="450" w:name="P450"/>
    <w:bookmarkEnd w:id="45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При наступлении обстоятельств, указанных в пункте 5.1 статьи 5 Соглашения, срок исполнения обязательств по Соглашению отодвигается соразмерно времени действия данных обстоятельств.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(пяти)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 В противном случае такая Сторона теряет право ссылаться на указанные обстоятельства.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Если обстоятельства, указанные в </w:t>
      </w:r>
      <w:hyperlink w:history="0" w:anchor="P449" w:tooltip="5.1. Стороны освобождаются от ответственности за полное или частичное неисполнение своих обязательств по Соглашению в случае, если оно явилось следствием обстоятельств непреодолимой силы, изменений законодательства, препятствующих надлежащему исполнению обязательств по Соглашению, а также других чрезвычайных обстоятельств, которые возникли после заключения Соглашения и непосредственно повлияли на исполнение Сторонами своих обязательств, а также которые Стороны были не в состоянии предвидеть и предотвратить.">
        <w:r>
          <w:rPr>
            <w:sz w:val="20"/>
            <w:color w:val="0000ff"/>
          </w:rPr>
          <w:t xml:space="preserve">пункте 5.1</w:t>
        </w:r>
      </w:hyperlink>
      <w:r>
        <w:rPr>
          <w:sz w:val="20"/>
        </w:rPr>
        <w:t xml:space="preserve"> Соглашения, будут длиться более двух календарных месяцев с даты соответствующего уведомления, Оператор вправе расторгнуть настоящее Соглашение без требования возмещения убытков, понесенных в связи с наступлением таких обстоятельств.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6. Приостановление подключения к ЗСПД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Оператор имеет право ограничивать и приостанавливать доступ стороне, получающей сведения, в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6.1.1 Несоблюдения установленного порядка обмена информацией.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6.1.2. Выявления фактов нарушения требований информационной безопасности и правил работы в информационных и коммуникационных системах.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6.1.3. Выявления иных оснований, препятствующих осуществлению информационного взаимодействия.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Подключение Участника к ЗСПД может быть прекращено Оператором в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6.2.1. Нарушения Участником требований передачи информации и безопасности информации, предусмотренных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6.2.2. Нарушения Участником установленных Требований по ИБ к используемым средствам и системам обеспечения информационного обмена, межсетевого взаимодействия и защиты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6.2.3. Выявления на основании официальных обращений физических или юридических лиц подтвержденных уполномоченными органами фактов неправомерных действий участника информационного взаимодействия по отношению к иным участникам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6.2.4. Приостановления действия лицензии на осуществление фармацевтической деятельности у Участника информационного взаимодействия в соответствии с требованиями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В срок, не превышающий 3 (трех) рабочих дней с момента обнаружения одного или нескольких нарушений, предусмотренных Соглашением. Оператор направляет Участнику уведомление в письменной форме с указанием основания, которое может послужить приостановлением подключения к ЗСПД.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В случае если одно или несколько нарушений, предусмотренных </w:t>
      </w:r>
      <w:hyperlink w:history="0" w:anchor="P450" w:tooltip="5.2. При наступлении обстоятельств, указанных в пункте 5.1 статьи 5 Соглашения, срок исполнения обязательств по Соглашению отодвигается соразмерно времени действия данных обстоятельств.">
        <w:r>
          <w:rPr>
            <w:sz w:val="20"/>
            <w:color w:val="0000ff"/>
          </w:rPr>
          <w:t xml:space="preserve">пунктом 5.2 статьи 5</w:t>
        </w:r>
      </w:hyperlink>
      <w:r>
        <w:rPr>
          <w:sz w:val="20"/>
        </w:rPr>
        <w:t xml:space="preserve"> Соглашения, будет допущено Участником, Участник обязан в срок, не превышающий 3 (трех) рабочих дней, проинформировать Оператора о предполагаемых сроках устранения допущенного Участником нарушения. В случае неустранения Участником нарушения в установленные сроки передача информации посредством ЗСПД приостанавливается.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В случае выявления на основании официальных обращений физических или юридических лиц подтвержденных уполномоченными органами фактов неправомерных действий Участника по отношению к ЗСПД, доступ Участника к ЗСПД незамедлительно приостанавливается без предварительного уведомления с последующим его восстановлением после устранения выявленного нарушения.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7. Порядок разрешения споров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В случае наличия претензий, споров, разногласий относительно исполнения одной из Сторон своих обязательств другая Сторона может направить претензию. В отношении всех претензий, направляемых по Соглашению, Сторона, к которой адресована данная претензия, должна дать письменный ответ по существу поставленных в претензии вопросов в срок не позднее 10 (десяти) календарных дней со дня ее получения.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Споры, которые могут возникнуть при исполнении, изменении, расторжении Соглашения, Стороны разрешают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8. Заключительные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Соглашение действует с даты подписания Сторонами до завершения эксперимента, установленного в соответствии с Федеральным </w:t>
      </w:r>
      <w:hyperlink w:history="0" r:id="rId34" w:tooltip="Федеральный закон от 20.10.2022 N 405-ФЗ &quot;О внесении изменений в Федеральный закон &quot;Об обращении лекарственных средств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20 октября 2022 года N 405-ФЗ "О внесении изменений в Федеральный закон "Об обращении лекарственных средств".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В случае изменения наименования, адреса местонахождения или других реквизитов одной из Сторон соответствующая Сторона письменно извещает об этом другую Сторону в течение 5 (пяти) рабочих дней со дня такого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Любые изменения и дополнения к Соглашению, принимаемые по предложениям Сторон, оформляются в письменной форме в виде дополнительного соглашения и становятся его неотъемлемой частью с момента их подписания Сторонами.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Соглашение может быть расторгнуто по инициативе любой из Сторон, при этом она должна письменно уведомить другую Сторону не менее чем за один календарный месяц до предполагаемой даты прекращения действия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Расторжение Соглашения возможно в случаях и порядке, установленных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Настоящее Соглашение составлено в двух экземплярах, имеющих одинаковую юридическую силу, по одному для каждой из Сторон.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9. Адреса и реквизиты Сторон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340"/>
        <w:gridCol w:w="4195"/>
      </w:tblGrid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Оператор</w:t>
            </w:r>
          </w:p>
        </w:tc>
        <w:tc>
          <w:tcPr>
            <w:gridSpan w:val="2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Участник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особого типа "Медицинский информационно-аналитический центр"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308002, Белгородская область,</w:t>
            </w:r>
          </w:p>
          <w:p>
            <w:pPr>
              <w:pStyle w:val="0"/>
            </w:pPr>
            <w:r>
              <w:rPr>
                <w:sz w:val="20"/>
              </w:rPr>
              <w:t xml:space="preserve">г. Белгород, пр-т Б.Хмельницкого, 133в.</w:t>
            </w:r>
          </w:p>
          <w:p>
            <w:pPr>
              <w:pStyle w:val="0"/>
            </w:pPr>
            <w:r>
              <w:rPr>
                <w:sz w:val="20"/>
              </w:rPr>
              <w:t xml:space="preserve">ИНН 3123072875 / КПП 312301001</w:t>
            </w:r>
          </w:p>
          <w:p>
            <w:pPr>
              <w:pStyle w:val="0"/>
            </w:pPr>
            <w:r>
              <w:rPr>
                <w:sz w:val="20"/>
              </w:rPr>
              <w:t xml:space="preserve">ОКПО 54668119</w:t>
            </w:r>
          </w:p>
          <w:p>
            <w:pPr>
              <w:pStyle w:val="0"/>
            </w:pPr>
            <w:r>
              <w:rPr>
                <w:sz w:val="20"/>
              </w:rPr>
              <w:t xml:space="preserve">ОГРН 1023101651891</w:t>
            </w:r>
          </w:p>
          <w:p>
            <w:pPr>
              <w:pStyle w:val="0"/>
            </w:pPr>
            <w:r>
              <w:rPr>
                <w:sz w:val="20"/>
              </w:rPr>
              <w:t xml:space="preserve">ОТДЕЛЕНИЕ БЕЛГОРОД БАНКА РОССИИ//УФК по Белгородской области г. Белгород</w:t>
            </w:r>
          </w:p>
          <w:p>
            <w:pPr>
              <w:pStyle w:val="0"/>
            </w:pPr>
            <w:r>
              <w:rPr>
                <w:sz w:val="20"/>
              </w:rPr>
              <w:t xml:space="preserve">Р/с: 03221643140000002600</w:t>
            </w:r>
          </w:p>
          <w:p>
            <w:pPr>
              <w:pStyle w:val="0"/>
            </w:pPr>
            <w:r>
              <w:rPr>
                <w:sz w:val="20"/>
              </w:rPr>
              <w:t xml:space="preserve">Кор. счет: 40102810745370000018</w:t>
            </w:r>
          </w:p>
          <w:p>
            <w:pPr>
              <w:pStyle w:val="0"/>
            </w:pPr>
            <w:r>
              <w:rPr>
                <w:sz w:val="20"/>
              </w:rPr>
              <w:t xml:space="preserve">БИК 011403102</w:t>
            </w:r>
          </w:p>
          <w:p>
            <w:pPr>
              <w:pStyle w:val="0"/>
            </w:pPr>
            <w:r>
              <w:rPr>
                <w:sz w:val="20"/>
              </w:rPr>
              <w:t xml:space="preserve">МФБП (Областное государственное казенное учреждение здравоохранения особого типа "Медицинский информационно-аналитический центр"</w:t>
            </w:r>
          </w:p>
          <w:p>
            <w:pPr>
              <w:pStyle w:val="0"/>
            </w:pPr>
            <w:r>
              <w:rPr>
                <w:sz w:val="20"/>
              </w:rPr>
              <w:t xml:space="preserve">л/сч 03262000881)</w:t>
            </w:r>
          </w:p>
          <w:p>
            <w:pPr>
              <w:pStyle w:val="0"/>
            </w:pPr>
            <w:r>
              <w:rPr>
                <w:sz w:val="20"/>
              </w:rPr>
              <w:t xml:space="preserve">Тел.: (4722) 31-79-25</w:t>
            </w:r>
          </w:p>
          <w:p>
            <w:pPr>
              <w:pStyle w:val="0"/>
            </w:pPr>
            <w:r>
              <w:rPr>
                <w:sz w:val="20"/>
              </w:rPr>
              <w:t xml:space="preserve">e-mail: info@zdrav31.ru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ИНН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КПП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р/с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ОКПО</w:t>
            </w:r>
          </w:p>
          <w:p>
            <w:pPr>
              <w:pStyle w:val="0"/>
              <w:jc w:val="both"/>
            </w:pPr>
            <w:hyperlink w:history="0" r:id="rId35" w:tooltip="&quot;ОК 028-2012. Общероссийский классификатор организационно-правовых форм&quot; (утв. Приказом Росстандарта от 16.10.2012 N 505-ст) (ред. от 14.03.2023) (вместе с &quot;Пояснениями к позициям ОКОПФ&quot;) {КонсультантПлюс}">
              <w:r>
                <w:rPr>
                  <w:sz w:val="20"/>
                  <w:color w:val="0000ff"/>
                </w:rPr>
                <w:t xml:space="preserve">ОКОПФ</w:t>
              </w:r>
            </w:hyperlink>
          </w:p>
          <w:p>
            <w:pPr>
              <w:pStyle w:val="0"/>
              <w:jc w:val="both"/>
            </w:pPr>
            <w:hyperlink w:history="0" r:id="rId36" w:tooltip="Постановление Госстандарта России от 30.03.1999 N 97 (ред. от 22.09.2023) &quot;О принятии и введении в действие Общероссийских классификаторов&quot; (вместе с &quot;ОК 027-99. Общероссийский классификатор форм собственности&quot;) (дата введения 01.01.2000) {КонсультантПлюс}">
              <w:r>
                <w:rPr>
                  <w:sz w:val="20"/>
                  <w:color w:val="0000ff"/>
                </w:rPr>
                <w:t xml:space="preserve">ОКФС</w:t>
              </w:r>
            </w:hyperlink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ОГРН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ОГКУЗ "МИАЦ"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марта 2023 г. N 126-пп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right"/>
      </w:pPr>
      <w:r>
        <w:rPr>
          <w:sz w:val="20"/>
        </w:rPr>
      </w:r>
    </w:p>
    <w:bookmarkStart w:id="539" w:name="P539"/>
    <w:bookmarkEnd w:id="539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подтверждения обеспечения соблюдения требований к инфраструктуре</w:t>
      </w:r>
    </w:p>
    <w:p>
      <w:pPr>
        <w:pStyle w:val="1"/>
        <w:jc w:val="both"/>
      </w:pPr>
      <w:r>
        <w:rPr>
          <w:sz w:val="20"/>
        </w:rPr>
        <w:t xml:space="preserve">  информационной безопасности и организации взаимодействия с региональным</w:t>
      </w:r>
    </w:p>
    <w:p>
      <w:pPr>
        <w:pStyle w:val="1"/>
        <w:jc w:val="both"/>
      </w:pPr>
      <w:r>
        <w:rPr>
          <w:sz w:val="20"/>
        </w:rPr>
        <w:t xml:space="preserve">      сегментом единой государственной информационной системы в сфере</w:t>
      </w:r>
    </w:p>
    <w:p>
      <w:pPr>
        <w:pStyle w:val="1"/>
        <w:jc w:val="both"/>
      </w:pPr>
      <w:r>
        <w:rPr>
          <w:sz w:val="20"/>
        </w:rPr>
        <w:t xml:space="preserve">       здравоохранения Белгородской области для аптечных организаций</w:t>
      </w:r>
    </w:p>
    <w:p>
      <w:pPr>
        <w:pStyle w:val="1"/>
        <w:jc w:val="both"/>
      </w:pPr>
      <w:r>
        <w:rPr>
          <w:sz w:val="20"/>
        </w:rPr>
        <w:t xml:space="preserve">                         и владельцев агрегаторов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Комиссия  по  защите  персональных  данных  и  контролю  за соблюдением</w:t>
      </w:r>
    </w:p>
    <w:p>
      <w:pPr>
        <w:pStyle w:val="1"/>
        <w:jc w:val="both"/>
      </w:pPr>
      <w:r>
        <w:rPr>
          <w:sz w:val="20"/>
        </w:rPr>
        <w:t xml:space="preserve">требований при их обработке в информационной системе в составе: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Председатель комиссии 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  <w:t xml:space="preserve">Члены комиссии: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  <w:t xml:space="preserve">составили  настоящий  Акт  о  том,  что  на подключаемом автоматизированном</w:t>
      </w:r>
    </w:p>
    <w:p>
      <w:pPr>
        <w:pStyle w:val="1"/>
        <w:jc w:val="both"/>
      </w:pPr>
      <w:r>
        <w:rPr>
          <w:sz w:val="20"/>
        </w:rPr>
        <w:t xml:space="preserve">рабочем месте сотрудника 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(Ф.И.О., должность)</w:t>
      </w:r>
    </w:p>
    <w:p>
      <w:pPr>
        <w:pStyle w:val="1"/>
        <w:jc w:val="both"/>
      </w:pPr>
      <w:r>
        <w:rPr>
          <w:sz w:val="20"/>
        </w:rPr>
        <w:t xml:space="preserve">___________________ расположенном в кабинете N _____, по адресу ___________</w:t>
      </w:r>
    </w:p>
    <w:p>
      <w:pPr>
        <w:pStyle w:val="1"/>
        <w:jc w:val="both"/>
      </w:pPr>
      <w:r>
        <w:rPr>
          <w:sz w:val="20"/>
        </w:rPr>
        <w:t xml:space="preserve">(инв./заводской N)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произведена установка и настройка следующих средств защиты информации:</w:t>
      </w:r>
    </w:p>
    <w:p>
      <w:pPr>
        <w:pStyle w:val="1"/>
        <w:jc w:val="both"/>
      </w:pPr>
      <w:r>
        <w:rPr>
          <w:sz w:val="20"/>
        </w:rPr>
        <w:t xml:space="preserve">    Средство антивирусной защиты 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(наименование, номер версии,</w:t>
      </w:r>
    </w:p>
    <w:p>
      <w:pPr>
        <w:pStyle w:val="1"/>
        <w:jc w:val="both"/>
      </w:pPr>
      <w:r>
        <w:rPr>
          <w:sz w:val="20"/>
        </w:rPr>
        <w:t xml:space="preserve">______________________________________, срок действия лицензии на получение</w:t>
      </w:r>
    </w:p>
    <w:p>
      <w:pPr>
        <w:pStyle w:val="1"/>
        <w:jc w:val="both"/>
      </w:pPr>
      <w:r>
        <w:rPr>
          <w:sz w:val="20"/>
        </w:rPr>
        <w:t xml:space="preserve">номер сертификата соответствия ФСТЭК)</w:t>
      </w:r>
    </w:p>
    <w:p>
      <w:pPr>
        <w:pStyle w:val="1"/>
        <w:jc w:val="both"/>
      </w:pPr>
      <w:r>
        <w:rPr>
          <w:sz w:val="20"/>
        </w:rPr>
        <w:t xml:space="preserve">обновлений антивирусных баз до ______________года;</w:t>
      </w:r>
    </w:p>
    <w:p>
      <w:pPr>
        <w:pStyle w:val="1"/>
        <w:jc w:val="both"/>
      </w:pPr>
      <w:r>
        <w:rPr>
          <w:sz w:val="20"/>
        </w:rPr>
        <w:t xml:space="preserve">    Средство межсетевого экранирования 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(наименование, номер версии,</w:t>
      </w:r>
    </w:p>
    <w:p>
      <w:pPr>
        <w:pStyle w:val="1"/>
        <w:jc w:val="both"/>
      </w:pPr>
      <w:r>
        <w:rPr>
          <w:sz w:val="20"/>
        </w:rPr>
        <w:t xml:space="preserve">______________________________________, срок действия сертификата активации</w:t>
      </w:r>
    </w:p>
    <w:p>
      <w:pPr>
        <w:pStyle w:val="1"/>
        <w:jc w:val="both"/>
      </w:pPr>
      <w:r>
        <w:rPr>
          <w:sz w:val="20"/>
        </w:rPr>
        <w:t xml:space="preserve"> номер сертификата соответствия ФСТЭК)</w:t>
      </w:r>
    </w:p>
    <w:p>
      <w:pPr>
        <w:pStyle w:val="1"/>
        <w:jc w:val="both"/>
      </w:pPr>
      <w:r>
        <w:rPr>
          <w:sz w:val="20"/>
        </w:rPr>
        <w:t xml:space="preserve">технической поддержки до ______________года;</w:t>
      </w:r>
    </w:p>
    <w:p>
      <w:pPr>
        <w:pStyle w:val="1"/>
        <w:jc w:val="both"/>
      </w:pPr>
      <w:r>
        <w:rPr>
          <w:sz w:val="20"/>
        </w:rPr>
        <w:t xml:space="preserve">    Средство защиты от несанкционированного доступа 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(наименование, номер версии,</w:t>
      </w:r>
    </w:p>
    <w:p>
      <w:pPr>
        <w:pStyle w:val="1"/>
        <w:jc w:val="both"/>
      </w:pPr>
      <w:r>
        <w:rPr>
          <w:sz w:val="20"/>
        </w:rPr>
        <w:t xml:space="preserve">______________________________________, срок действия сертификата активации</w:t>
      </w:r>
    </w:p>
    <w:p>
      <w:pPr>
        <w:pStyle w:val="1"/>
        <w:jc w:val="both"/>
      </w:pPr>
      <w:r>
        <w:rPr>
          <w:sz w:val="20"/>
        </w:rPr>
        <w:t xml:space="preserve"> номер сертификата соответствия ФСТЭК)</w:t>
      </w:r>
    </w:p>
    <w:p>
      <w:pPr>
        <w:pStyle w:val="1"/>
        <w:jc w:val="both"/>
      </w:pPr>
      <w:r>
        <w:rPr>
          <w:sz w:val="20"/>
        </w:rPr>
        <w:t xml:space="preserve">технической поддержки до ______________ года;</w:t>
      </w:r>
    </w:p>
    <w:p>
      <w:pPr>
        <w:pStyle w:val="1"/>
        <w:jc w:val="both"/>
      </w:pPr>
      <w:r>
        <w:rPr>
          <w:sz w:val="20"/>
        </w:rPr>
        <w:t xml:space="preserve">    Корректность настроек и работоспособность средств защиты подтверждаем.</w:t>
      </w:r>
    </w:p>
    <w:p>
      <w:pPr>
        <w:pStyle w:val="1"/>
        <w:jc w:val="both"/>
      </w:pPr>
      <w:r>
        <w:rPr>
          <w:sz w:val="20"/>
        </w:rPr>
        <w:t xml:space="preserve">    Аттестат     соответствия     требованиям    безопасности    информации</w:t>
      </w:r>
    </w:p>
    <w:p>
      <w:pPr>
        <w:pStyle w:val="1"/>
        <w:jc w:val="both"/>
      </w:pPr>
      <w:r>
        <w:rPr>
          <w:sz w:val="20"/>
        </w:rPr>
        <w:t xml:space="preserve">номер_____________________,  срок  действия  _____________ (указывается при</w:t>
      </w:r>
    </w:p>
    <w:p>
      <w:pPr>
        <w:pStyle w:val="1"/>
        <w:jc w:val="both"/>
      </w:pPr>
      <w:r>
        <w:rPr>
          <w:sz w:val="20"/>
        </w:rPr>
        <w:t xml:space="preserve">наличии).</w:t>
      </w:r>
    </w:p>
    <w:p>
      <w:pPr>
        <w:pStyle w:val="1"/>
        <w:jc w:val="both"/>
      </w:pPr>
      <w:r>
        <w:rPr>
          <w:sz w:val="20"/>
        </w:rPr>
        <w:t xml:space="preserve">    Кабинет,   где   установлено   автоматизированное   рабочее   место   и</w:t>
      </w:r>
    </w:p>
    <w:p>
      <w:pPr>
        <w:pStyle w:val="1"/>
        <w:jc w:val="both"/>
      </w:pPr>
      <w:r>
        <w:rPr>
          <w:sz w:val="20"/>
        </w:rPr>
        <w:t xml:space="preserve">обрабатываются  персональные  данные,  оборудован  сейфом  и  опечатывающим</w:t>
      </w:r>
    </w:p>
    <w:p>
      <w:pPr>
        <w:pStyle w:val="1"/>
        <w:jc w:val="both"/>
      </w:pPr>
      <w:r>
        <w:rPr>
          <w:sz w:val="20"/>
        </w:rPr>
        <w:t xml:space="preserve">устройством.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(Ф.И.О., должность ответственного за работу в ГИС сотрудника)</w:t>
      </w:r>
    </w:p>
    <w:p>
      <w:pPr>
        <w:pStyle w:val="1"/>
        <w:jc w:val="both"/>
      </w:pPr>
      <w:r>
        <w:rPr>
          <w:sz w:val="20"/>
        </w:rPr>
        <w:t xml:space="preserve">прошел  инструктаж  по  информационной  безопасности,  о чем есть отметка в</w:t>
      </w:r>
    </w:p>
    <w:p>
      <w:pPr>
        <w:pStyle w:val="1"/>
        <w:jc w:val="both"/>
      </w:pPr>
      <w:r>
        <w:rPr>
          <w:sz w:val="20"/>
        </w:rPr>
        <w:t xml:space="preserve">журнале.</w:t>
      </w:r>
    </w:p>
    <w:p>
      <w:pPr>
        <w:pStyle w:val="1"/>
        <w:jc w:val="both"/>
      </w:pPr>
      <w:r>
        <w:rPr>
          <w:sz w:val="20"/>
        </w:rPr>
        <w:t xml:space="preserve">    По   результатам   проведенных   мероприятий   комиссия   считает,  что</w:t>
      </w:r>
    </w:p>
    <w:p>
      <w:pPr>
        <w:pStyle w:val="1"/>
        <w:jc w:val="both"/>
      </w:pPr>
      <w:r>
        <w:rPr>
          <w:sz w:val="20"/>
        </w:rPr>
        <w:t xml:space="preserve">автоматизированное рабочее место _________________________________ отвечает</w:t>
      </w:r>
    </w:p>
    <w:p>
      <w:pPr>
        <w:pStyle w:val="1"/>
        <w:jc w:val="both"/>
      </w:pPr>
      <w:r>
        <w:rPr>
          <w:sz w:val="20"/>
        </w:rPr>
        <w:t xml:space="preserve">                                      (инв./заводской номер)</w:t>
      </w:r>
    </w:p>
    <w:p>
      <w:pPr>
        <w:pStyle w:val="1"/>
        <w:jc w:val="both"/>
      </w:pPr>
      <w:r>
        <w:rPr>
          <w:sz w:val="20"/>
        </w:rPr>
        <w:t xml:space="preserve">требованиям безопасности информации, предъявляемым к подключению в РС ЕГИСЗ</w:t>
      </w:r>
    </w:p>
    <w:p>
      <w:pPr>
        <w:pStyle w:val="1"/>
        <w:jc w:val="both"/>
      </w:pPr>
      <w:r>
        <w:rPr>
          <w:sz w:val="20"/>
        </w:rPr>
        <w:t xml:space="preserve">Белгородской   области,   и   может   быть   введено   в   эксплуатацию,  и</w:t>
      </w:r>
    </w:p>
    <w:p>
      <w:pPr>
        <w:pStyle w:val="1"/>
        <w:jc w:val="both"/>
      </w:pPr>
      <w:r>
        <w:rPr>
          <w:sz w:val="20"/>
        </w:rPr>
        <w:t xml:space="preserve">___________________________ готов к работе в РС ЕГИСЗ Белгородской области.</w:t>
      </w:r>
    </w:p>
    <w:p>
      <w:pPr>
        <w:pStyle w:val="1"/>
        <w:jc w:val="both"/>
      </w:pPr>
      <w:r>
        <w:rPr>
          <w:sz w:val="20"/>
        </w:rPr>
        <w:t xml:space="preserve">    (Ф.И.О., должность)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Председатель комиссии 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(подпись)         (Ф.И.О.)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Члены комиссии: 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(подпись)         (Ф.И.О.)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06.03.2023 N 126-пп</w:t>
            <w:br/>
            <w:t>"Об утверждении порядка предоставления доступа к за...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06.03.2023 N 126-пп</w:t>
            <w:br/>
            <w:t>"Об утверждении порядка предоставления доступа к за...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29415" TargetMode = "External"/>
	<Relationship Id="rId8" Type="http://schemas.openxmlformats.org/officeDocument/2006/relationships/hyperlink" Target="https://login.consultant.ru/link/?req=doc&amp;base=LAW&amp;n=454208&amp;dst=1039" TargetMode = "External"/>
	<Relationship Id="rId9" Type="http://schemas.openxmlformats.org/officeDocument/2006/relationships/hyperlink" Target="https://login.consultant.ru/link/?req=doc&amp;base=LAW&amp;n=439768&amp;dst=100148" TargetMode = "External"/>
	<Relationship Id="rId10" Type="http://schemas.openxmlformats.org/officeDocument/2006/relationships/hyperlink" Target="https://login.consultant.ru/link/?req=doc&amp;base=LAW&amp;n=440301" TargetMode = "External"/>
	<Relationship Id="rId11" Type="http://schemas.openxmlformats.org/officeDocument/2006/relationships/hyperlink" Target="https://login.consultant.ru/link/?req=doc&amp;base=RLAW404&amp;n=49505" TargetMode = "External"/>
	<Relationship Id="rId12" Type="http://schemas.openxmlformats.org/officeDocument/2006/relationships/hyperlink" Target="https://login.consultant.ru/link/?req=doc&amp;base=LAW&amp;n=464157" TargetMode = "External"/>
	<Relationship Id="rId13" Type="http://schemas.openxmlformats.org/officeDocument/2006/relationships/hyperlink" Target="https://login.consultant.ru/link/?req=doc&amp;base=LAW&amp;n=439201" TargetMode = "External"/>
	<Relationship Id="rId14" Type="http://schemas.openxmlformats.org/officeDocument/2006/relationships/hyperlink" Target="https://login.consultant.ru/link/?req=doc&amp;base=LAW&amp;n=440301" TargetMode = "External"/>
	<Relationship Id="rId15" Type="http://schemas.openxmlformats.org/officeDocument/2006/relationships/hyperlink" Target="https://login.consultant.ru/link/?req=doc&amp;base=RLAW404&amp;n=49505" TargetMode = "External"/>
	<Relationship Id="rId16" Type="http://schemas.openxmlformats.org/officeDocument/2006/relationships/hyperlink" Target="https://login.consultant.ru/link/?req=doc&amp;base=LAW&amp;n=356859" TargetMode = "External"/>
	<Relationship Id="rId17" Type="http://schemas.openxmlformats.org/officeDocument/2006/relationships/hyperlink" Target="https://login.consultant.ru/link/?req=doc&amp;base=LAW&amp;n=355893" TargetMode = "External"/>
	<Relationship Id="rId18" Type="http://schemas.openxmlformats.org/officeDocument/2006/relationships/hyperlink" Target="https://login.consultant.ru/link/?req=doc&amp;base=LAW&amp;n=454123" TargetMode = "External"/>
	<Relationship Id="rId19" Type="http://schemas.openxmlformats.org/officeDocument/2006/relationships/hyperlink" Target="https://login.consultant.ru/link/?req=doc&amp;base=LAW&amp;n=464157&amp;dst=100158" TargetMode = "External"/>
	<Relationship Id="rId20" Type="http://schemas.openxmlformats.org/officeDocument/2006/relationships/hyperlink" Target="https://login.consultant.ru/link/?req=doc&amp;base=LAW&amp;n=439201&amp;dst=100382" TargetMode = "External"/>
	<Relationship Id="rId21" Type="http://schemas.openxmlformats.org/officeDocument/2006/relationships/hyperlink" Target="https://login.consultant.ru/link/?req=doc&amp;base=LAW&amp;n=327147&amp;dst=100026" TargetMode = "External"/>
	<Relationship Id="rId22" Type="http://schemas.openxmlformats.org/officeDocument/2006/relationships/hyperlink" Target="https://login.consultant.ru/link/?req=doc&amp;base=LAW&amp;n=454305" TargetMode = "External"/>
	<Relationship Id="rId23" Type="http://schemas.openxmlformats.org/officeDocument/2006/relationships/hyperlink" Target="https://login.consultant.ru/link/?req=doc&amp;base=LAW&amp;n=454305" TargetMode = "External"/>
	<Relationship Id="rId24" Type="http://schemas.openxmlformats.org/officeDocument/2006/relationships/header" Target="header2.xml"/>
	<Relationship Id="rId25" Type="http://schemas.openxmlformats.org/officeDocument/2006/relationships/footer" Target="footer2.xml"/>
	<Relationship Id="rId26" Type="http://schemas.openxmlformats.org/officeDocument/2006/relationships/hyperlink" Target="https://login.consultant.ru/link/?req=doc&amp;base=RLAW404&amp;n=49505" TargetMode = "External"/>
	<Relationship Id="rId27" Type="http://schemas.openxmlformats.org/officeDocument/2006/relationships/hyperlink" Target="https://login.consultant.ru/link/?req=doc&amp;base=LAW&amp;n=429415" TargetMode = "External"/>
	<Relationship Id="rId28" Type="http://schemas.openxmlformats.org/officeDocument/2006/relationships/hyperlink" Target="https://login.consultant.ru/link/?req=doc&amp;base=LAW&amp;n=464157" TargetMode = "External"/>
	<Relationship Id="rId29" Type="http://schemas.openxmlformats.org/officeDocument/2006/relationships/hyperlink" Target="https://login.consultant.ru/link/?req=doc&amp;base=LAW&amp;n=439201" TargetMode = "External"/>
	<Relationship Id="rId30" Type="http://schemas.openxmlformats.org/officeDocument/2006/relationships/hyperlink" Target="https://login.consultant.ru/link/?req=doc&amp;base=LAW&amp;n=440301" TargetMode = "External"/>
	<Relationship Id="rId31" Type="http://schemas.openxmlformats.org/officeDocument/2006/relationships/hyperlink" Target="https://login.consultant.ru/link/?req=doc&amp;base=RLAW404&amp;n=49505" TargetMode = "External"/>
	<Relationship Id="rId32" Type="http://schemas.openxmlformats.org/officeDocument/2006/relationships/hyperlink" Target="https://login.consultant.ru/link/?req=doc&amp;base=LAW&amp;n=356859" TargetMode = "External"/>
	<Relationship Id="rId33" Type="http://schemas.openxmlformats.org/officeDocument/2006/relationships/hyperlink" Target="https://login.consultant.ru/link/?req=doc&amp;base=LAW&amp;n=355893" TargetMode = "External"/>
	<Relationship Id="rId34" Type="http://schemas.openxmlformats.org/officeDocument/2006/relationships/hyperlink" Target="https://login.consultant.ru/link/?req=doc&amp;base=LAW&amp;n=429415" TargetMode = "External"/>
	<Relationship Id="rId35" Type="http://schemas.openxmlformats.org/officeDocument/2006/relationships/hyperlink" Target="https://login.consultant.ru/link/?req=doc&amp;base=LAW&amp;n=449963" TargetMode = "External"/>
	<Relationship Id="rId36" Type="http://schemas.openxmlformats.org/officeDocument/2006/relationships/hyperlink" Target="https://login.consultant.ru/link/?req=doc&amp;base=LAW&amp;n=458803&amp;dst=10000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06.03.2023 N 126-пп
"Об утверждении порядка предоставления доступа к защищенной сети передачи данных регионального сегмента единой государственной информационной системы в сфере здравоохранения Белгородской области для аптечных организаций и владельцев агрегаторов"</dc:title>
  <dcterms:created xsi:type="dcterms:W3CDTF">2024-04-24T09:35:58Z</dcterms:created>
</cp:coreProperties>
</file>